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360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b/>
          <w:bCs/>
          <w:color w:val="00000A"/>
          <w:sz w:val="16"/>
          <w:szCs w:val="16"/>
        </w:rPr>
        <w:t xml:space="preserve">Załącznik nr 10 do SIWZ- Wzór umowy </w:t>
      </w:r>
    </w:p>
    <w:p>
      <w:pPr>
        <w:pStyle w:val="Default"/>
        <w:spacing w:lineRule="auto" w:line="360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Znak sprawy: JRP.271.4.2019</w:t>
      </w:r>
    </w:p>
    <w:p>
      <w:pPr>
        <w:pStyle w:val="Default"/>
        <w:spacing w:lineRule="auto" w:line="360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UMOWA Nr IR……2019</w:t>
      </w:r>
    </w:p>
    <w:p>
      <w:pPr>
        <w:pStyle w:val="Default"/>
        <w:spacing w:lineRule="auto" w:line="360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zawarta w trybie przepisów Ustawy z dnia 29 stycznia 2004 r. Prawo zamówień publicznych. (Dz. U. z 2018 r. poz. 1986 z późn. zm.) zwanej dalej w skrócie „ustawą”</w:t>
      </w:r>
    </w:p>
    <w:p>
      <w:pPr>
        <w:pStyle w:val="Default"/>
        <w:spacing w:lineRule="auto" w:line="360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w dniu …………...............</w:t>
      </w: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2019 r. </w:t>
      </w:r>
      <w:r>
        <w:rPr>
          <w:rFonts w:cs="Tahoma" w:ascii="Tahoma" w:hAnsi="Tahoma"/>
          <w:color w:val="00000A"/>
          <w:sz w:val="20"/>
          <w:szCs w:val="20"/>
        </w:rPr>
        <w:t>w Ścinawie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pomiędzy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Gminą Ścinawa </w:t>
      </w:r>
      <w:r>
        <w:rPr>
          <w:rFonts w:cs="Tahoma" w:ascii="Tahoma" w:hAnsi="Tahoma"/>
          <w:color w:val="00000A"/>
          <w:sz w:val="20"/>
          <w:szCs w:val="20"/>
        </w:rPr>
        <w:t xml:space="preserve">(NIP 692-22-61-396)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Rynek 17, 59-330 Ścinawa,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reprezentowaną przez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Krystiana Kosztyłę </w:t>
      </w:r>
      <w:r>
        <w:rPr>
          <w:rFonts w:cs="Tahoma" w:ascii="Tahoma" w:hAnsi="Tahoma"/>
          <w:color w:val="00000A"/>
          <w:sz w:val="20"/>
          <w:szCs w:val="20"/>
        </w:rPr>
        <w:t xml:space="preserve">-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>Burmistrza Ścinawy</w:t>
      </w:r>
      <w:r>
        <w:rPr>
          <w:rFonts w:cs="Tahoma" w:ascii="Tahoma" w:hAnsi="Tahoma"/>
          <w:color w:val="00000A"/>
          <w:sz w:val="20"/>
          <w:szCs w:val="20"/>
        </w:rPr>
        <w:t xml:space="preserve">,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przy kontrasygnacie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Skarbnika Miasta i Gminy Ścinawa- Marzeny Dawedowskiej </w:t>
      </w:r>
    </w:p>
    <w:p>
      <w:pPr>
        <w:pStyle w:val="Default"/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zwaną w dalszej części umowy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Zamawiającym </w:t>
      </w:r>
    </w:p>
    <w:p>
      <w:pPr>
        <w:pStyle w:val="Default"/>
        <w:spacing w:lineRule="auto" w:line="360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a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……………………</w:t>
      </w: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.., </w:t>
      </w:r>
      <w:r>
        <w:rPr>
          <w:rFonts w:cs="Tahoma" w:ascii="Tahoma" w:hAnsi="Tahoma"/>
          <w:color w:val="00000A"/>
          <w:sz w:val="20"/>
          <w:szCs w:val="20"/>
        </w:rPr>
        <w:t xml:space="preserve">zam. …………, PESEL …………... prowadzącym/prowadzącą działalność gospodarczą pod nazwą: ………… z siedzibą w ……………………zarejestrowaną w………….,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NIP……………………., Regon…………..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zwaną w dalszej części umowy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>Wykonawcą</w:t>
      </w:r>
      <w:r>
        <w:rPr>
          <w:rFonts w:cs="Tahoma" w:ascii="Tahoma" w:hAnsi="Tahoma"/>
          <w:color w:val="00000A"/>
          <w:sz w:val="20"/>
          <w:szCs w:val="20"/>
        </w:rPr>
        <w:t xml:space="preserve">, </w:t>
      </w:r>
    </w:p>
    <w:p>
      <w:pPr>
        <w:pStyle w:val="Default"/>
        <w:spacing w:lineRule="auto" w:line="360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w wyniku przeprowadzonego postępowania o udzielenie zamówienia publicznego na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Pełnienie nadzoru archeologicznego w ramach Kontraktu 1.3 „Budowa kanalizacji sanitarnej oraz przebudowa sieci wodociągowej na terenie wiejskim aglomeracji Ścinawa”  </w:t>
      </w:r>
    </w:p>
    <w:p>
      <w:pPr>
        <w:pStyle w:val="Default"/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bookmarkStart w:id="0" w:name="_Hlk16599063"/>
      <w:bookmarkStart w:id="1" w:name="_Hlk16599063"/>
      <w:bookmarkEnd w:id="1"/>
      <w:r>
        <w:rPr>
          <w:rFonts w:cs="Tahoma" w:ascii="Tahoma" w:hAnsi="Tahoma"/>
          <w:b/>
          <w:bCs/>
          <w:color w:val="00000A"/>
          <w:sz w:val="20"/>
          <w:szCs w:val="20"/>
        </w:rPr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strony zawierają umowę następującej treści: </w:t>
      </w:r>
    </w:p>
    <w:p>
      <w:pPr>
        <w:pStyle w:val="Default"/>
        <w:spacing w:lineRule="auto" w:line="360"/>
        <w:jc w:val="center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1.</w:t>
      </w:r>
    </w:p>
    <w:p>
      <w:pPr>
        <w:pStyle w:val="ListParagraph"/>
        <w:numPr>
          <w:ilvl w:val="0"/>
          <w:numId w:val="2"/>
        </w:numPr>
        <w:spacing w:before="0" w:after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pacing w:val="-1"/>
          <w:sz w:val="20"/>
          <w:szCs w:val="20"/>
        </w:rPr>
        <w:t xml:space="preserve">Przedmiotem umowy jest pełnienie nadzoru archeologicznego na potrzeby Kontraktu 1.3 „Budowa kanalizacji sanitarnej oraz przebudowa sieci wodociągowej na terenie wiejskim aglomeracji Ścinawa” zgodnie z zakresem przedstawionym w Ogłoszeniu o zamówieniu. </w:t>
      </w:r>
    </w:p>
    <w:p>
      <w:pPr>
        <w:pStyle w:val="ListParagraph"/>
        <w:numPr>
          <w:ilvl w:val="0"/>
          <w:numId w:val="2"/>
        </w:numPr>
        <w:spacing w:before="0" w:after="0"/>
        <w:jc w:val="both"/>
        <w:rPr>
          <w:rFonts w:ascii="Tahoma" w:hAnsi="Tahoma" w:cs="Tahoma"/>
          <w:b/>
          <w:b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Inwestycja zlokalizowana jest:</w:t>
      </w:r>
      <w:r>
        <w:rPr>
          <w:rFonts w:cs="Tahoma" w:ascii="Tahoma" w:hAnsi="Tahoma"/>
          <w:b/>
          <w:sz w:val="20"/>
          <w:szCs w:val="20"/>
        </w:rPr>
        <w:t xml:space="preserve"> ………………………</w:t>
      </w:r>
    </w:p>
    <w:p>
      <w:pPr>
        <w:pStyle w:val="ListParagraph"/>
        <w:numPr>
          <w:ilvl w:val="0"/>
          <w:numId w:val="2"/>
        </w:numPr>
        <w:spacing w:before="0" w:after="0"/>
        <w:jc w:val="both"/>
        <w:rPr>
          <w:rFonts w:ascii="Tahoma" w:hAnsi="Tahoma" w:cs="Tahoma"/>
          <w:b/>
          <w:b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ramach realizacji przedmiotu umowy należy: </w:t>
      </w:r>
    </w:p>
    <w:p>
      <w:pPr>
        <w:pStyle w:val="ListParagraph"/>
        <w:numPr>
          <w:ilvl w:val="1"/>
          <w:numId w:val="2"/>
        </w:numPr>
        <w:spacing w:before="0" w:after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cs="Tahoma" w:ascii="Tahoma" w:hAnsi="Tahoma"/>
          <w:bCs/>
          <w:sz w:val="20"/>
          <w:szCs w:val="20"/>
        </w:rPr>
        <w:t>Wykonać dokumentację i sprawozdania z przeprowadzonego nadzoru archeologicznego zgodnie z wymogami zawartymi w decyzji o pozwoleniu na prowadzenie prac archeologicznych wydanym przez Wojewódzkiego Konserwatora Zabytków,</w:t>
      </w:r>
    </w:p>
    <w:p>
      <w:pPr>
        <w:pStyle w:val="ListParagraph"/>
        <w:numPr>
          <w:ilvl w:val="1"/>
          <w:numId w:val="2"/>
        </w:numPr>
        <w:spacing w:before="0" w:after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cs="Tahoma" w:ascii="Tahoma" w:hAnsi="Tahoma"/>
          <w:bCs/>
          <w:sz w:val="20"/>
          <w:szCs w:val="20"/>
        </w:rPr>
        <w:t>Wykonać dokumentację w dwóch egzemplarzach, z czego jeden egzemplarz otrzyma Zamawiający, jeden egzemplarz otrzyma Wojewódzki Konserwator Zabytków,</w:t>
      </w:r>
    </w:p>
    <w:p>
      <w:pPr>
        <w:pStyle w:val="ListParagraph"/>
        <w:numPr>
          <w:ilvl w:val="1"/>
          <w:numId w:val="2"/>
        </w:numPr>
        <w:spacing w:before="0" w:after="0"/>
        <w:jc w:val="both"/>
        <w:rPr>
          <w:rFonts w:ascii="Tahoma" w:hAnsi="Tahoma" w:cs="Tahoma"/>
          <w:bCs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  <w:u w:val="single"/>
        </w:rPr>
        <w:t>Wystąpić w imieniu Inwestora z wnioskiem o wydanie pozwolenia na prowadzenie badań archeologicznych</w:t>
      </w:r>
      <w:r>
        <w:rPr>
          <w:rFonts w:cs="Tahoma" w:ascii="Tahoma" w:hAnsi="Tahoma"/>
          <w:color w:val="00000A"/>
          <w:sz w:val="20"/>
          <w:szCs w:val="20"/>
        </w:rPr>
        <w:t xml:space="preserve"> w oparciu o rozporządzenie Ministra Kultury i Dziedzictwa Narodowego z dnia 2 sierpnia 20181r. w sprawie prowadzenia prac konserwatorskich, prac restauratorskich i badań konserwatorskich, przy zabytku wpisanym do rejestru zabytków albo na Listę Skarbów Dziedzictwa oraz robot budowlanych, badań architektonicznych i innych działań przy zabytku wpisanym do rejestru zabytków, a także badań archeologicznych i poszukiwań zabytków (Dz. U. 2018 poz. 1609).</w:t>
      </w:r>
    </w:p>
    <w:p>
      <w:pPr>
        <w:pStyle w:val="ListParagraph"/>
        <w:numPr>
          <w:ilvl w:val="1"/>
          <w:numId w:val="2"/>
        </w:numPr>
        <w:spacing w:before="0" w:after="0"/>
        <w:jc w:val="both"/>
        <w:rPr>
          <w:rFonts w:ascii="Tahoma" w:hAnsi="Tahoma" w:cs="Tahoma"/>
          <w:bCs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Opracować program prowadzenia badań archeologicznych. </w:t>
      </w:r>
    </w:p>
    <w:p>
      <w:pPr>
        <w:pStyle w:val="ListParagraph"/>
        <w:numPr>
          <w:ilvl w:val="1"/>
          <w:numId w:val="2"/>
        </w:numPr>
        <w:spacing w:before="0" w:after="0"/>
        <w:jc w:val="both"/>
        <w:rPr>
          <w:rFonts w:ascii="Tahoma" w:hAnsi="Tahoma" w:cs="Tahoma"/>
          <w:bCs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Uzyskać dokument potwierdzający gotowość muzeum lub innej jednostki organizacyjnej do przyjęcia zabytków. </w:t>
      </w:r>
    </w:p>
    <w:p>
      <w:pPr>
        <w:pStyle w:val="ListParagraph"/>
        <w:numPr>
          <w:ilvl w:val="1"/>
          <w:numId w:val="2"/>
        </w:numPr>
        <w:spacing w:before="0" w:after="0"/>
        <w:jc w:val="both"/>
        <w:rPr>
          <w:rFonts w:ascii="Tahoma" w:hAnsi="Tahoma" w:cs="Tahoma"/>
          <w:bCs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Przeprowadzić badania archeologiczne w czasie trwania prac budowlanych.</w:t>
      </w:r>
    </w:p>
    <w:p>
      <w:pPr>
        <w:pStyle w:val="ListParagraph"/>
        <w:numPr>
          <w:ilvl w:val="1"/>
          <w:numId w:val="2"/>
        </w:numPr>
        <w:spacing w:before="0" w:after="0"/>
        <w:jc w:val="both"/>
        <w:rPr>
          <w:rFonts w:ascii="Tahoma" w:hAnsi="Tahoma" w:cs="Tahoma"/>
          <w:bCs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Sporządzić opis uporządkowania terenu po zakończeniu badań. </w:t>
      </w:r>
    </w:p>
    <w:p>
      <w:pPr>
        <w:pStyle w:val="ListParagraph"/>
        <w:spacing w:before="0" w:after="0"/>
        <w:ind w:left="927" w:hanging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cs="Tahoma" w:ascii="Tahoma" w:hAnsi="Tahoma"/>
          <w:bCs/>
          <w:sz w:val="20"/>
          <w:szCs w:val="20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2.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Umowa zostaje zawarta na czas oznaczony od dnia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……………….. </w:t>
      </w:r>
      <w:r>
        <w:rPr>
          <w:rFonts w:cs="Tahoma" w:ascii="Tahoma" w:hAnsi="Tahoma"/>
          <w:color w:val="00000A"/>
          <w:sz w:val="20"/>
          <w:szCs w:val="20"/>
        </w:rPr>
        <w:t xml:space="preserve">do dnia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…………………..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Zamawiający może wypowiedzieć niniejszą umowę z zachowaniem 1-miesięcznego terminu wypowiedzenia.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Wynagrodzenie należne Wykonawcy w wypadku wypowiedzenia umowy przed terminem końcowym wskazanym w ust. 1 zostanie ustalone proporcjonalnie do zakresu wykonanych prac i okresu pełnienia nadzoru archeologicznego.</w:t>
      </w:r>
    </w:p>
    <w:p>
      <w:pPr>
        <w:pStyle w:val="Default"/>
        <w:spacing w:lineRule="auto" w:line="360"/>
        <w:ind w:left="360" w:hanging="0"/>
        <w:jc w:val="both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3.</w:t>
      </w:r>
    </w:p>
    <w:p>
      <w:pPr>
        <w:pStyle w:val="ListParagraph"/>
        <w:spacing w:before="0" w:after="0"/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cs="Tahoma" w:ascii="Tahoma" w:hAnsi="Tahoma"/>
          <w:spacing w:val="-1"/>
          <w:sz w:val="20"/>
          <w:szCs w:val="20"/>
        </w:rPr>
        <w:t xml:space="preserve">Za wykonanie czynności objętych niniejszą umową, </w:t>
      </w:r>
      <w:r>
        <w:rPr>
          <w:rFonts w:cs="Tahoma" w:ascii="Tahoma" w:hAnsi="Tahoma"/>
          <w:bCs/>
          <w:spacing w:val="-1"/>
          <w:sz w:val="20"/>
          <w:szCs w:val="20"/>
        </w:rPr>
        <w:t xml:space="preserve">Zamawiający </w:t>
      </w:r>
      <w:r>
        <w:rPr>
          <w:rFonts w:cs="Tahoma" w:ascii="Tahoma" w:hAnsi="Tahoma"/>
          <w:spacing w:val="-1"/>
          <w:sz w:val="20"/>
          <w:szCs w:val="20"/>
        </w:rPr>
        <w:t xml:space="preserve">zapłaci </w:t>
      </w:r>
      <w:r>
        <w:rPr>
          <w:rFonts w:cs="Tahoma" w:ascii="Tahoma" w:hAnsi="Tahoma"/>
          <w:bCs/>
          <w:spacing w:val="-1"/>
          <w:sz w:val="20"/>
          <w:szCs w:val="20"/>
        </w:rPr>
        <w:t xml:space="preserve">Wykonawcy </w:t>
      </w:r>
      <w:r>
        <w:rPr>
          <w:rFonts w:cs="Tahoma" w:ascii="Tahoma" w:hAnsi="Tahoma"/>
          <w:sz w:val="20"/>
          <w:szCs w:val="20"/>
        </w:rPr>
        <w:t xml:space="preserve">wynagrodzenie w łącznej wysokości </w:t>
      </w:r>
      <w:r>
        <w:rPr>
          <w:rFonts w:cs="Tahoma" w:ascii="Tahoma" w:hAnsi="Tahoma"/>
          <w:b/>
          <w:bCs/>
          <w:sz w:val="20"/>
          <w:szCs w:val="20"/>
        </w:rPr>
        <w:t>…………. zł brutto</w:t>
      </w:r>
      <w:r>
        <w:rPr>
          <w:rFonts w:cs="Tahoma" w:ascii="Tahoma" w:hAnsi="Tahoma"/>
          <w:bCs/>
          <w:sz w:val="20"/>
          <w:szCs w:val="20"/>
        </w:rPr>
        <w:t xml:space="preserve"> (słownie: …………….).</w:t>
      </w:r>
    </w:p>
    <w:p>
      <w:pPr>
        <w:pStyle w:val="ListParagraph"/>
        <w:spacing w:before="0" w:after="0"/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cs="Tahoma" w:ascii="Tahoma" w:hAnsi="Tahoma"/>
          <w:bCs/>
          <w:sz w:val="20"/>
          <w:szCs w:val="20"/>
        </w:rPr>
        <w:t>Wynagrodzenie na umotywowany wniosek Wykonawcy może być wypłacane w częściach, proporcjonalnie do zrealizowanego przez wykonawcę zakresu zleconych prac.</w:t>
      </w:r>
    </w:p>
    <w:p>
      <w:pPr>
        <w:pStyle w:val="ListParagraph"/>
        <w:spacing w:before="0" w:after="0"/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cs="Tahoma" w:ascii="Tahoma" w:hAnsi="Tahoma"/>
          <w:bCs/>
          <w:spacing w:val="-1"/>
          <w:sz w:val="20"/>
          <w:szCs w:val="20"/>
        </w:rPr>
        <w:t xml:space="preserve">Zamawiający </w:t>
      </w:r>
      <w:r>
        <w:rPr>
          <w:rFonts w:cs="Tahoma" w:ascii="Tahoma" w:hAnsi="Tahoma"/>
          <w:spacing w:val="-1"/>
          <w:sz w:val="20"/>
          <w:szCs w:val="20"/>
        </w:rPr>
        <w:t xml:space="preserve">dokona zapłaty wynagrodzenia </w:t>
      </w:r>
      <w:r>
        <w:rPr>
          <w:rFonts w:cs="Tahoma" w:ascii="Tahoma" w:hAnsi="Tahoma"/>
          <w:bCs/>
          <w:spacing w:val="-1"/>
          <w:sz w:val="20"/>
          <w:szCs w:val="20"/>
        </w:rPr>
        <w:t xml:space="preserve">Wykonawcy z dołu, </w:t>
      </w:r>
      <w:r>
        <w:rPr>
          <w:rFonts w:cs="Tahoma" w:ascii="Tahoma" w:hAnsi="Tahoma"/>
          <w:spacing w:val="-1"/>
          <w:sz w:val="20"/>
          <w:szCs w:val="20"/>
        </w:rPr>
        <w:t xml:space="preserve">w terminie 21 dni </w:t>
        <w:br/>
        <w:t xml:space="preserve">od otrzymania </w:t>
      </w:r>
      <w:r>
        <w:rPr>
          <w:rFonts w:cs="Tahoma" w:ascii="Tahoma" w:hAnsi="Tahoma"/>
          <w:sz w:val="20"/>
          <w:szCs w:val="20"/>
        </w:rPr>
        <w:t xml:space="preserve">prawidłowo wystawionego rachunku/faktury przez </w:t>
      </w:r>
      <w:r>
        <w:rPr>
          <w:rFonts w:cs="Tahoma" w:ascii="Tahoma" w:hAnsi="Tahoma"/>
          <w:bCs/>
          <w:sz w:val="20"/>
          <w:szCs w:val="20"/>
        </w:rPr>
        <w:t>Wykonawcę.</w:t>
      </w:r>
    </w:p>
    <w:p>
      <w:pPr>
        <w:pStyle w:val="ListParagraph"/>
        <w:spacing w:before="0" w:after="0"/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cs="Tahoma" w:ascii="Tahoma" w:hAnsi="Tahoma"/>
          <w:spacing w:val="-1"/>
          <w:sz w:val="20"/>
          <w:szCs w:val="20"/>
        </w:rPr>
        <w:t>Zamawiający wypłacał będzie wynagrodzenie należne Wykonawcy przelewem na rachunek bankowy wskazany na fakturze.</w:t>
      </w:r>
    </w:p>
    <w:p>
      <w:pPr>
        <w:pStyle w:val="ListParagraph"/>
        <w:spacing w:before="0" w:after="0"/>
        <w:jc w:val="both"/>
        <w:rPr>
          <w:rFonts w:ascii="Tahoma" w:hAnsi="Tahoma" w:cs="Tahoma"/>
          <w:spacing w:val="-1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Wykonawca zgodnie z przepisami ustawy z dnia 11 marca 2004 r. o podatku od towarów i usług będzie uwzględniał na wystawionych fakturach podatek VAT, w przewidzianej przepisami wysokości.</w:t>
      </w:r>
    </w:p>
    <w:p>
      <w:pPr>
        <w:pStyle w:val="ListParagraph"/>
        <w:spacing w:before="0" w:after="0"/>
        <w:jc w:val="both"/>
        <w:rPr/>
      </w:pPr>
      <w:r>
        <w:rPr>
          <w:rFonts w:cs="Tahoma" w:ascii="Tahoma" w:hAnsi="Tahoma"/>
          <w:sz w:val="20"/>
          <w:szCs w:val="20"/>
        </w:rPr>
        <w:t xml:space="preserve"> </w:t>
      </w:r>
      <w:r>
        <w:rPr>
          <w:rFonts w:cs="Tahoma" w:ascii="Tahoma" w:hAnsi="Tahoma"/>
          <w:color w:val="00000A"/>
          <w:sz w:val="20"/>
          <w:szCs w:val="20"/>
        </w:rPr>
        <w:t>Zamawiający oświadcza, że jest płatnikiem podatku VAT o numerze NIP: 692-22-61-396.</w:t>
      </w:r>
    </w:p>
    <w:p>
      <w:pPr>
        <w:pStyle w:val="ListParagraph"/>
        <w:spacing w:before="0" w:after="0"/>
        <w:jc w:val="both"/>
        <w:rPr>
          <w:rFonts w:ascii="Tahoma" w:hAnsi="Tahoma" w:cs="Tahoma"/>
          <w:color w:val="00000A"/>
          <w:sz w:val="20"/>
          <w:szCs w:val="20"/>
        </w:rPr>
      </w:pPr>
      <w:bookmarkStart w:id="2" w:name="move17387641"/>
      <w:bookmarkEnd w:id="2"/>
      <w:r>
        <w:rPr>
          <w:rFonts w:cs="Tahoma" w:ascii="Tahoma" w:hAnsi="Tahoma"/>
          <w:color w:val="00000A"/>
          <w:sz w:val="20"/>
          <w:szCs w:val="20"/>
        </w:rPr>
        <w:t>Wykonawca oświadcza, że jest płatnikiem podatku VAT o numerze NIP ………………</w:t>
      </w:r>
    </w:p>
    <w:p>
      <w:pPr>
        <w:pStyle w:val="Normal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4.</w:t>
      </w:r>
    </w:p>
    <w:p>
      <w:pPr>
        <w:pStyle w:val="Default"/>
        <w:numPr>
          <w:ilvl w:val="0"/>
          <w:numId w:val="1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Zamawiający przewiduje możliwość udzielenia zamówień podobnych o których mowa w art. 67 ust.1 punkt 6  do  40 %  wartości zamówienia podstawowego.</w:t>
      </w:r>
    </w:p>
    <w:p>
      <w:pPr>
        <w:pStyle w:val="Default"/>
        <w:numPr>
          <w:ilvl w:val="0"/>
          <w:numId w:val="1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Określenie przedmiotu, wielkości lub zakresu oraz warunków na jakich zostaną udzielone zamówienia, o których mowa w art. 67 ust. 1 pkt 6 ustawy Pzp:</w:t>
      </w:r>
    </w:p>
    <w:p>
      <w:pPr>
        <w:pStyle w:val="Default"/>
        <w:numPr>
          <w:ilvl w:val="2"/>
          <w:numId w:val="2"/>
        </w:numPr>
        <w:spacing w:lineRule="auto" w:line="360"/>
        <w:ind w:left="1077" w:hanging="357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Zamawiający przewiduje udzielenie zamówienia, o którym mowa w art. 67 ust.1 pkt 6 ustawy PZP, tj. udzielenie, w okresie 3 lat od dnia udzielenia zamówienia podstawowego, dotychczasowemu Wykonawcy, zamówienia polegającego na wykonaniu dokumentacji archeologicznej i przeprowadzeniu wymaganych prawem badań zgodnych z przedmiotem zamówienia.</w:t>
      </w:r>
    </w:p>
    <w:p>
      <w:pPr>
        <w:pStyle w:val="Default"/>
        <w:numPr>
          <w:ilvl w:val="2"/>
          <w:numId w:val="2"/>
        </w:numPr>
        <w:spacing w:lineRule="auto" w:line="360"/>
        <w:ind w:left="1077" w:hanging="357"/>
        <w:jc w:val="both"/>
        <w:rPr/>
      </w:pPr>
      <w:r>
        <w:rPr>
          <w:rFonts w:cs="Tahoma" w:ascii="Tahoma" w:hAnsi="Tahoma"/>
          <w:sz w:val="20"/>
          <w:szCs w:val="20"/>
        </w:rPr>
        <w:t>Zamawiający przyjmie jako maksymalne składniki cenotwórcze te, które wykonawca podał w swojej ofercie do tego zamówienia, tj. procentową wartość usługi w stosunku do wartości robót budowlanych.</w:t>
      </w:r>
    </w:p>
    <w:p>
      <w:pPr>
        <w:pStyle w:val="Default"/>
        <w:numPr>
          <w:ilvl w:val="2"/>
          <w:numId w:val="2"/>
        </w:numPr>
        <w:spacing w:lineRule="auto" w:line="360"/>
        <w:ind w:left="1077" w:hanging="357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Warunkiem udzielenia zamówienia jest przedstawienie pisemnego uzasadnienia - protokołu konieczności (wraz z wyceną tych prac) przez Wykonawcę, z którym Zamawiający podpisał umowę na przedmiotowe zadanie. Umowa w sprawie przedmiotowej usługi zostanie zawarta na zasadach określonych w art. 67 ust. 1 pkt 6 ustawy Pzp.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Wykonawca zgodnie z przepisami ustawy z dnia 11 marca 2004 r. o podatku od towarów i usług (Dz. U. 2018 r. poz. 2174 ze zm.) będzie uwzględniał na wystawionych fakturach podatek VAT, w należnej wysokości.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>Zamawiający oświadcza, że jest płatnikiem podatku VAT o numerze NIP: 692-22-61-396.</w:t>
      </w:r>
    </w:p>
    <w:p>
      <w:pPr>
        <w:pStyle w:val="Default"/>
        <w:spacing w:lineRule="auto" w:line="360"/>
        <w:ind w:left="714" w:hanging="357"/>
        <w:jc w:val="both"/>
        <w:rPr>
          <w:rFonts w:ascii="Tahoma" w:hAnsi="Tahoma" w:cs="Tahoma"/>
          <w:color w:val="00000A"/>
          <w:sz w:val="20"/>
          <w:szCs w:val="20"/>
        </w:rPr>
      </w:pPr>
      <w:bookmarkStart w:id="3" w:name="move173876411"/>
      <w:bookmarkEnd w:id="3"/>
      <w:r>
        <w:rPr>
          <w:rFonts w:cs="Tahoma" w:ascii="Tahoma" w:hAnsi="Tahoma"/>
          <w:color w:val="00000A"/>
          <w:sz w:val="20"/>
          <w:szCs w:val="20"/>
        </w:rPr>
        <w:t>Wykonawca oświadcza, że jest płatnikiem podatku VAT o numerze NIP ………………</w:t>
      </w:r>
    </w:p>
    <w:p>
      <w:pPr>
        <w:pStyle w:val="Default"/>
        <w:spacing w:lineRule="auto" w:line="360"/>
        <w:jc w:val="center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5.</w:t>
      </w:r>
    </w:p>
    <w:p>
      <w:pPr>
        <w:pStyle w:val="Default"/>
        <w:numPr>
          <w:ilvl w:val="0"/>
          <w:numId w:val="4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W ramach wynagrodzenia ustalonego umową, Wykonawca przenosi na rzecz Zamawiającego całość autorskich praw majątkowych oraz własność do wszystkich utworów, wytworzonych w trakcie realizacji przedmiotu umowy, (tj. opracowania, mapy, wykresy, rysunki, plany, dane, obliczenia, opracowania, dokumentacje itp.) z chwilą ich przekazania. Wynagrodzenie z tytułu przeniesienia tych praw jest uwzględnione w wynagrodzeniu ustalonym w </w:t>
      </w:r>
      <w:r>
        <w:rPr>
          <w:rFonts w:cs="Tahoma" w:ascii="Calibri" w:hAnsi="Calibri"/>
          <w:sz w:val="20"/>
          <w:szCs w:val="20"/>
        </w:rPr>
        <w:t>§</w:t>
      </w:r>
      <w:r>
        <w:rPr>
          <w:rFonts w:cs="Tahoma" w:ascii="Tahoma" w:hAnsi="Tahoma"/>
          <w:sz w:val="20"/>
          <w:szCs w:val="20"/>
        </w:rPr>
        <w:t xml:space="preserve"> 3. Jednocześnie Wykonawca przenosi na rzecz Zamawiającego własność wszelkich egzemplarzy lub nośników, na których utrwalono wykonaną dokumentację nadzoru archeologicznego. </w:t>
      </w:r>
    </w:p>
    <w:p>
      <w:pPr>
        <w:pStyle w:val="Default"/>
        <w:numPr>
          <w:ilvl w:val="0"/>
          <w:numId w:val="4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W ramach nabytych autorskich praw majątkowych Zamawiający jest uprawniony w szczególności do: </w:t>
      </w:r>
    </w:p>
    <w:p>
      <w:pPr>
        <w:pStyle w:val="Default"/>
        <w:numPr>
          <w:ilvl w:val="0"/>
          <w:numId w:val="9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kopiowania całości dokumentacji lub jej części, </w:t>
      </w:r>
    </w:p>
    <w:p>
      <w:pPr>
        <w:pStyle w:val="Default"/>
        <w:numPr>
          <w:ilvl w:val="0"/>
          <w:numId w:val="9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utrwalanie i zwielokrotnianie dokumentacji w postaci cyfrowej np. na nośniku </w:t>
        <w:br/>
        <w:t xml:space="preserve">(CD-R), </w:t>
      </w:r>
    </w:p>
    <w:p>
      <w:pPr>
        <w:pStyle w:val="Default"/>
        <w:numPr>
          <w:ilvl w:val="0"/>
          <w:numId w:val="9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wprowadzania do komputera na dowolnej liczbie własnych stanowisk komputerowych i stanowisk komputerowych jednostek zaangażowanych w realizację inwestycji, </w:t>
      </w:r>
    </w:p>
    <w:p>
      <w:pPr>
        <w:pStyle w:val="Default"/>
        <w:numPr>
          <w:ilvl w:val="0"/>
          <w:numId w:val="9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wprowadzania i wykorzystywania dokumentacji we wszystkich formach i w każdy sposób w Internecie oraz innych sieciach komputerowych, </w:t>
      </w:r>
    </w:p>
    <w:p>
      <w:pPr>
        <w:pStyle w:val="Default"/>
        <w:numPr>
          <w:ilvl w:val="0"/>
          <w:numId w:val="9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publicznego udostępniania opracowań w całości lub dowolnej części, </w:t>
      </w:r>
    </w:p>
    <w:p>
      <w:pPr>
        <w:pStyle w:val="Default"/>
        <w:numPr>
          <w:ilvl w:val="0"/>
          <w:numId w:val="9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udostępnianie dokumentacji osobom trzecim w celu wykonywania przez nie czynności związanych z przygotowaniem i realizacją inwestycji,  </w:t>
      </w:r>
    </w:p>
    <w:p>
      <w:pPr>
        <w:pStyle w:val="Default"/>
        <w:numPr>
          <w:ilvl w:val="0"/>
          <w:numId w:val="9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przesyłania dokumentacji lub jej części właściwym organom lub podmiotom w przypadkach określonych przepisami prawa lub gdy jest to niezbędne do udzielenia zamówienia publicznego, realizacji przedmiotu dokumentacji bądź jego eksploatacji, </w:t>
      </w:r>
    </w:p>
    <w:p>
      <w:pPr>
        <w:pStyle w:val="Default"/>
        <w:numPr>
          <w:ilvl w:val="0"/>
          <w:numId w:val="9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wykorzystywania dokumentacji do realizacji prac, których ona dotyczy, </w:t>
      </w:r>
    </w:p>
    <w:p>
      <w:pPr>
        <w:pStyle w:val="Default"/>
        <w:numPr>
          <w:ilvl w:val="0"/>
          <w:numId w:val="9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wykorzystywania dokumentacji przy wykonywaniu innych opracowań.</w:t>
      </w:r>
    </w:p>
    <w:p>
      <w:pPr>
        <w:pStyle w:val="Default"/>
        <w:numPr>
          <w:ilvl w:val="0"/>
          <w:numId w:val="4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Postanowienia niniejszego paragrafu stosuje się odpowiednio do zmian utworów wchodzących w skład dokumentacji nadzoru archeologicznego. Wykonawca zezwala Zamawiającemu na korzystanie z opracowań oraz ich przeróbek oraz na rozporządzanie tymi opracowaniami wraz z przeróbkami – tj. udziela Zamawiającemu praw zależnych.</w:t>
      </w:r>
    </w:p>
    <w:p>
      <w:pPr>
        <w:pStyle w:val="Default"/>
        <w:numPr>
          <w:ilvl w:val="0"/>
          <w:numId w:val="4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W przypadku wystąpienia przez jakąkolwiek osobę trzecią w stosunku do Zamawiającego z roszczeniem z tytułu naruszenia praw autorskich, zarówno osobistych jak i majątkowych, jeżeli naruszenie nastąpiło w związku z nienależytym wykonaniem dokumentacji w ramach niniejszej umowy przez Wykonawcę, Wykonawca: </w:t>
      </w:r>
    </w:p>
    <w:p>
      <w:pPr>
        <w:pStyle w:val="Default"/>
        <w:numPr>
          <w:ilvl w:val="0"/>
          <w:numId w:val="14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przyjmie na siebie pełną odpowiedzialność za powstanie oraz wszelkie skutki powyższych zdarzeń,</w:t>
      </w:r>
    </w:p>
    <w:p>
      <w:pPr>
        <w:pStyle w:val="Default"/>
        <w:numPr>
          <w:ilvl w:val="0"/>
          <w:numId w:val="14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w przypadku skierowania sprawy na drogę postępowania sądowego wstąpi do procesu po stronie Zamawiającego i pokryje wszelkie koszty związane z udziałem Zamawiającego w postępowaniu sądowym oraz ewentualnym postępowaniu egzekucyjnym, w tym koszty obsługi prawnej postępowania,</w:t>
      </w:r>
    </w:p>
    <w:p>
      <w:pPr>
        <w:pStyle w:val="Default"/>
        <w:numPr>
          <w:ilvl w:val="0"/>
          <w:numId w:val="14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3) poniesie wszelkie koszty związane z ewentualnym pokryciem roszczeń majątkowych i niemajątkowych związanych z naruszeniem praw autorskich majątkowych lub osobistych osoby lub osób zgłaszających roszczenia.</w:t>
      </w:r>
    </w:p>
    <w:p>
      <w:pPr>
        <w:pStyle w:val="Default"/>
        <w:spacing w:lineRule="auto" w:line="360"/>
        <w:ind w:left="720" w:hanging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6.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Wykonawca może, za pisemną zgodą Zamawiającego, zlecić wykonanie części świadczenia podwykonawcy. Nie zwalnia to jednak Wykonawcy od odpowiedzialności i zobowiązań wynikających z niniejszej umowy. Wykonawca jest odpowiedzialny za działania i zaniechania podwykonawcy, jego przedstawicieli lub pracowników w takim zakresie, jak za własne działania i zaniechania.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O zamiarze zawarcia umowy z podwykonawcą, Wykonawca jest zobowiązany pisemnie powiadomić Zamawiającego, określając jednocześnie dane podwykonawcy i zakres robót zleconych podwykonawcy do wykonania, co najmniej na 14 dni przed zawarciem umowy z podwykonawcą.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Jeżeli Zamawiający ma uzasadnione podejrzenia, że kwalifikacje podwykonawcy lub jego wyposażenie w sprzęt nie gwarantują odpowiedniej jakości świadczenia usług lub dotrzymania terminów, to może zgłosić pisemne zastrzeżenia w terminie 14 dni od dnia złożenia pisemnego powiadomienia przez Wykonawcę o zamiarze zawarcia umowy z podwykonawcą zgodnie z ust. 2, żądając od Wykonawcy zmiany podwykonawcy. Niezgłoszenie przez Zamawiającego pisemnych zastrzeżeń do projektu umowy o podwykonawstwo w terminie, o którym mowa w niniejszym ustępie, uważa się za akceptację umowy, która ma być zawarta z podwykonawcą.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Wykonawca jest zobowiązany przedłożyć Zamawiającemu zaakceptowaną i poświadczoną za zgodność z oryginałem kopię zawartej umowy o podwykonawstwo, w terminie do 7 dni od dnia jej zawarcia.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W przypadku nieprzedłożenia pisemnego powiadomienia o zamiarze zawarcia umowy o podwykonawstwo lub poświadczonej za zgodność z oryginałem kopii zaakceptowanej umowy o podwykonawstwo lub zawarcia umowy z podwykonawcą bez pisemnej zgody Zamawiającego Wykonawca zapłaci Zamawiającemu karę umowną w wysokości 5.000,00 zł.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Podwykonawca nie może zlecić robót innemu podwykonawcy bez pisemnej zgody Zamawiającego. </w:t>
      </w:r>
    </w:p>
    <w:p>
      <w:pPr>
        <w:pStyle w:val="Default"/>
        <w:spacing w:lineRule="auto" w:line="360"/>
        <w:ind w:left="720" w:hanging="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b/>
          <w:bCs/>
          <w:color w:val="00000A"/>
          <w:sz w:val="16"/>
          <w:szCs w:val="16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color w:val="00000A"/>
          <w:sz w:val="20"/>
          <w:szCs w:val="20"/>
        </w:rPr>
      </w:pPr>
      <w:bookmarkStart w:id="4" w:name="_Hlk16601937"/>
      <w:bookmarkEnd w:id="4"/>
      <w:r>
        <w:rPr>
          <w:rFonts w:cs="Tahoma" w:ascii="Tahoma" w:hAnsi="Tahoma"/>
          <w:b/>
          <w:bCs/>
          <w:color w:val="00000A"/>
          <w:sz w:val="20"/>
          <w:szCs w:val="20"/>
        </w:rPr>
        <w:t>§ 7.</w:t>
      </w:r>
    </w:p>
    <w:p>
      <w:pPr>
        <w:pStyle w:val="Default"/>
        <w:numPr>
          <w:ilvl w:val="0"/>
          <w:numId w:val="5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Wykonawca zapłaci Zamawiającemu karę umowną:</w:t>
      </w:r>
    </w:p>
    <w:p>
      <w:pPr>
        <w:pStyle w:val="Default"/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Za odstąpienie od umowy z przyczyn, za które odpowiada Wykonawca – w wysokości 20% wynagrodzenia brutto, o którym mowa w § 3 ust. 1. </w:t>
      </w:r>
    </w:p>
    <w:p>
      <w:pPr>
        <w:pStyle w:val="Default"/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 </w:t>
      </w:r>
      <w:r>
        <w:rPr>
          <w:rFonts w:cs="Tahoma" w:ascii="Tahoma" w:hAnsi="Tahoma"/>
          <w:sz w:val="20"/>
          <w:szCs w:val="20"/>
        </w:rPr>
        <w:t xml:space="preserve">Za każdy dzień opóźnienia w wykonaniu określonego w umowie przedmiotu – w wysokości 0,5% wynagrodzenia brutto, o którym mowa w § 3 ust. 1, licząc od dnia, kiedy przedmiot umowy powinien być wykonany. </w:t>
      </w:r>
    </w:p>
    <w:p>
      <w:pPr>
        <w:pStyle w:val="Default"/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Za każdy dzień opóźnienia za nie zrealizowanie obowiązku przedłużenia terminu ważności zabezpieczenia należytego wykonania umowy, o którym mowa w § 12 – w wysokości 0,1% wynagrodzenia brutto, o którym mowa w § 3 ust. 1. </w:t>
      </w:r>
    </w:p>
    <w:p>
      <w:pPr>
        <w:pStyle w:val="Default"/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Za przekroczenie terminu do usunięcia wad przedmiotu umowy stwierdzonych przy odbiorze – w wysokości 0,5% (za każdy dzień) wynagrodzenia brutto, o którym mowa w § 3 ust. 1. </w:t>
      </w:r>
    </w:p>
    <w:p>
      <w:pPr>
        <w:pStyle w:val="Default"/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Za każdorazowy stwierdzony przypadek wykonania przez inną osobę niż zaakceptowana przez Zamawiającego czynności zastrzeżonych dla kierownika nadzoru archeologicznego – w wysokości: 2 000,00 zł (słownie: dwa tysiące złotych 00/100). </w:t>
      </w:r>
    </w:p>
    <w:p>
      <w:pPr>
        <w:pStyle w:val="Default"/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Za każdorazowe zawarcie umowy przez Wykonawcę z podwykonawcą bez zgody Zamawiającego – w wysokości 0,1% wynagrodzenia brutto, o którym mowa w § 3 ust. 1.</w:t>
      </w:r>
    </w:p>
    <w:p>
      <w:pPr>
        <w:pStyle w:val="Default"/>
        <w:numPr>
          <w:ilvl w:val="0"/>
          <w:numId w:val="5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Zamawiający zapłaci Wykonawcy karę umowną za odstąpienie od umowy z przyczyn, za które odpowiedzialność ponosi wyłącznie Zamawiający – w wysokości 20% wynagrodzenia brutto, o którym mowa w § 3 ust. 1, z wyjątkiem wystąpienia sytuacji przedstawionej w art. 145 ustawy Prawo zamówień publicznych. </w:t>
      </w:r>
    </w:p>
    <w:p>
      <w:pPr>
        <w:pStyle w:val="Default"/>
        <w:numPr>
          <w:ilvl w:val="0"/>
          <w:numId w:val="5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Zamawiający zastrzega sobie prawo potrącenia kary umownej z wynagrodzenia przysługującego Wykonawcy za wykonanie przedmiotu umowy.</w:t>
      </w:r>
    </w:p>
    <w:p>
      <w:pPr>
        <w:pStyle w:val="Default"/>
        <w:numPr>
          <w:ilvl w:val="0"/>
          <w:numId w:val="5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Niezależnie od kar umownych Strony mogą dochodzić odszkodowania uzupełniającego (do pełnej wysokości poniesionej szkody) na zasadach ogólnych, w przypadkach, gdy szkoda przekracza wysokość kar umownych.</w:t>
      </w:r>
    </w:p>
    <w:p>
      <w:pPr>
        <w:pStyle w:val="Default"/>
        <w:numPr>
          <w:ilvl w:val="0"/>
          <w:numId w:val="5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Zamawiający ma prawo potrącić wysokość należnych mu kar umownych z wynagrodzenia przysługującego Wykonawcy lub z zabezpieczenia.</w:t>
      </w:r>
    </w:p>
    <w:p>
      <w:pPr>
        <w:pStyle w:val="Default"/>
        <w:numPr>
          <w:ilvl w:val="0"/>
          <w:numId w:val="5"/>
        </w:numPr>
        <w:spacing w:lineRule="auto" w:line="36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Kary umowne przewidziane w ust. 1podlegają sumowaniu i mogą być naliczone łączni z kliku tytułów.</w:t>
      </w:r>
    </w:p>
    <w:p>
      <w:pPr>
        <w:pStyle w:val="Default"/>
        <w:spacing w:lineRule="auto" w:line="360"/>
        <w:ind w:left="720" w:hanging="0"/>
        <w:jc w:val="both"/>
        <w:rPr>
          <w:rFonts w:ascii="Tahoma" w:hAnsi="Tahoma" w:cs="Tahoma"/>
          <w:b/>
          <w:b/>
          <w:bCs/>
          <w:color w:val="00000A"/>
          <w:sz w:val="16"/>
          <w:szCs w:val="16"/>
        </w:rPr>
      </w:pPr>
      <w:r>
        <w:rPr>
          <w:rFonts w:cs="Tahoma" w:ascii="Tahoma" w:hAnsi="Tahoma"/>
          <w:b/>
          <w:bCs/>
          <w:color w:val="00000A"/>
          <w:sz w:val="16"/>
          <w:szCs w:val="16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8.</w:t>
      </w:r>
    </w:p>
    <w:p>
      <w:pPr>
        <w:pStyle w:val="Default"/>
        <w:numPr>
          <w:ilvl w:val="0"/>
          <w:numId w:val="6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Zamawiającemu przysługuje prawo odstąpienia od umowy w następujących okolicznościach:</w:t>
      </w:r>
    </w:p>
    <w:p>
      <w:pPr>
        <w:pStyle w:val="Default"/>
        <w:numPr>
          <w:ilvl w:val="0"/>
          <w:numId w:val="8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przypadku, gdy Wykonawca nie przystąpił do realizacji przedmiotu umowy, w terminie do 14 dni od dnia, o którym mowa w § 2 ust. 1, pomimo dodatkowego wezwania Zamawiającego i wyznaczenia dodatkowego 7 dniowego terminu na usuniecie uchybienia. </w:t>
      </w:r>
    </w:p>
    <w:p>
      <w:pPr>
        <w:pStyle w:val="Default"/>
        <w:numPr>
          <w:ilvl w:val="0"/>
          <w:numId w:val="8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przypadku, gdy Wykonawca przerwał realizację prac bez uzasadnionej przyczyny i nie realizuje ich przez okres 14 dni, pomimo dodatkowego wezwania Zamawiającego i wyznaczenia dodatkowego 7 dniowego terminu na usuniecie uchybienia. </w:t>
      </w:r>
    </w:p>
    <w:p>
      <w:pPr>
        <w:pStyle w:val="Default"/>
        <w:numPr>
          <w:ilvl w:val="0"/>
          <w:numId w:val="8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 razie wystąpienia istotnej zmiany okoliczności powodującej, że wykonanie umowy nie leży w interesie publicznym, czego nie można było przewidzieć w chwili zawarcia umowy, zgodnie z art. 145 ustawy z dnia 29 stycznia 2004 r. Prawo zamówień publicznych, w terminie 30 dni od powzięcia wiadomości o tych okolicznościach. W takim przypadku Wykonawca może żądać wyłącznie wynagrodzenia należnego z tytułu wykonania części umowy. Wykonawca zrzeka się wszelkich innych roszczeń z tytułu odstąpienia od umowy przez Zamawiającego w okolicznościach wyżej wskazanych. </w:t>
      </w:r>
    </w:p>
    <w:p>
      <w:pPr>
        <w:pStyle w:val="Default"/>
        <w:numPr>
          <w:ilvl w:val="0"/>
          <w:numId w:val="6"/>
        </w:numPr>
        <w:spacing w:lineRule="auto" w:line="36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>W przypadku odstąpienia od Umowy, w ramach wynagrodzenia lub części wynagrodzenia, o którym mowa w § 3 Umowy, Zamawiający nabywa majątkowe prawa autorskie w zakresie określonym w § 5 do wszystkich utworów wytworzonych przez Wykonawcę w ramach realizacji przedmiotu Umowy do dnia odstąpienia od Umowy.</w:t>
      </w:r>
    </w:p>
    <w:p>
      <w:pPr>
        <w:pStyle w:val="Default"/>
        <w:numPr>
          <w:ilvl w:val="0"/>
          <w:numId w:val="6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Odstąpienie od umowy powinno nastąpić w formie pisemnej.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color w:val="00000A"/>
          <w:sz w:val="16"/>
          <w:szCs w:val="16"/>
        </w:rPr>
      </w:r>
    </w:p>
    <w:p>
      <w:pPr>
        <w:pStyle w:val="Default"/>
        <w:keepNext w:val="true"/>
        <w:spacing w:lineRule="auto" w:line="360"/>
        <w:ind w:left="720" w:hanging="0"/>
        <w:jc w:val="center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9.</w:t>
      </w:r>
    </w:p>
    <w:p>
      <w:pPr>
        <w:pStyle w:val="Default"/>
        <w:keepNext w:val="true"/>
        <w:numPr>
          <w:ilvl w:val="0"/>
          <w:numId w:val="7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Zamawiający przewiduje, na podstawie art. 144 ustawy z dnia 29 stycznia 2004 r. Prawo zamówień publicznych (Dz. U. z 2018 r. poz. 1986 z późn. zm.), możliwość dokonania zmiany postanowień zawartej umowy w stosunku do treści oferty, na podstawie której dokonano wyboru Wykonawcy, w zakresie: </w:t>
      </w:r>
    </w:p>
    <w:p>
      <w:pPr>
        <w:pStyle w:val="Default"/>
        <w:numPr>
          <w:ilvl w:val="0"/>
          <w:numId w:val="10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Zmiany powszechnie obowiązujących przepisów prawa w takim zakresie, w jakim będzie to niezbędne w celu dostosowania postanowień umowy do zaistniałego stanu prawnego lub faktycznego, w szczególności powodujących konieczność uzyskania dokumentów, które te przepisy narzucają; </w:t>
      </w:r>
    </w:p>
    <w:p>
      <w:pPr>
        <w:pStyle w:val="Default"/>
        <w:numPr>
          <w:ilvl w:val="0"/>
          <w:numId w:val="10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Zmiany terminów wykonania przedmiotu umowy, o których mowa w § 2 ust. 3, która możliwa będzie w przypadku: </w:t>
      </w:r>
    </w:p>
    <w:p>
      <w:pPr>
        <w:pStyle w:val="Default"/>
        <w:numPr>
          <w:ilvl w:val="0"/>
          <w:numId w:val="11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wystąpienia w trakcie wykonywania prac niekorzystnych warunków atmosferycznych uniemożliwiających prowadzenie prac zgodnie z zasadami lub normami technicznymi, w szczególności długotrwałe dodatnie lub ujemne temperatury zewnętrzne lub długotrwałe opady atmosferyczne podczas wykonywania prac. Zmiana terminu wykonania umowy możliwa będzie o czas występowania niekorzystnych warunków atmosferycznych,</w:t>
      </w:r>
    </w:p>
    <w:p>
      <w:pPr>
        <w:pStyle w:val="Default"/>
        <w:numPr>
          <w:ilvl w:val="0"/>
          <w:numId w:val="11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wystąpienia działania siły wyższej – rozumianej jako wystąpienie zdarzenia nadzwyczajnego, zewnętrznego, niemożliwego do przewidzenia i zapobieżenia, którego nie dało się uniknąć nawet przy zachowaniu najwyższej staranności, a które uniemożliwia Wykonawcy wykonanie jego zobowiązania w całości lub części (np. powódź, trzęsienie ziemi, pożar, itp.), w szczególności zagrażającego bezpośrednio życiu lub zdrowiu ludzi lub grążącego powstaniem szkody w znacznych rozmiarach. Zmiana terminu wykonania umowy możliwa będzie o czas działania siły wyższej oraz czas niezbędny na usunięcie skutków tej siły. Fakt wystąpienia i zakończenia sytuacji, o których mowa w lit. a) i b) musi być potwierdzony danymi z Instytutu Meteorologii i Gospodarki Wodnej.</w:t>
      </w:r>
    </w:p>
    <w:p>
      <w:pPr>
        <w:pStyle w:val="Default"/>
        <w:numPr>
          <w:ilvl w:val="0"/>
          <w:numId w:val="11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zaistnienia działań osób trzecich uniemożliwiających wykonanie poszczególnych elementów przedmiotu umowy, które to działania nie są konsekwencją winy którejkolwiek ze Stron,</w:t>
      </w:r>
    </w:p>
    <w:p>
      <w:pPr>
        <w:pStyle w:val="Default"/>
        <w:numPr>
          <w:ilvl w:val="0"/>
          <w:numId w:val="11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zaszła konieczność uzyskania niemożliwych do przewidzenia na etapie planowania inwestycji danych, zgód bądź pozwoleń osób trzecich lub właściwych organów, </w:t>
      </w:r>
    </w:p>
    <w:p>
      <w:pPr>
        <w:pStyle w:val="Default"/>
        <w:numPr>
          <w:ilvl w:val="0"/>
          <w:numId w:val="11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wstrzymania prac lub przerwania prac, powstałych z przyczyn leżących po stronie Zamawiającego,</w:t>
      </w:r>
    </w:p>
    <w:p>
      <w:pPr>
        <w:pStyle w:val="Default"/>
        <w:numPr>
          <w:ilvl w:val="0"/>
          <w:numId w:val="11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wstrzymania prac na mocy decyzji organów uprawnionych do wstrzymania lub przerwania prac, z przyczyn niezależnych od Zamawiającego lub Wykonawcy, co uniemożliwia terminowe zakończenie realizacji przedmiotu umowy. Zmiana terminu wykonania umowy możliwa będzie o czas wynikający z decyzji organów, </w:t>
      </w:r>
    </w:p>
    <w:p>
      <w:pPr>
        <w:pStyle w:val="Default"/>
        <w:numPr>
          <w:ilvl w:val="0"/>
          <w:numId w:val="11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wstrzymania prac na mocy decyzji Zamawiającego lub innych organów, z przyczyn innych, niż związane z błędnym sposobem realizacji prac przez Wykonawcę, czy też naruszeniem przez Wykonawcę przepisów prawa. Zmiana terminu wykonania umowy możliwa będzie o czas wynikający z decyzji Zamawiającego lub innych organów, </w:t>
      </w:r>
    </w:p>
    <w:p>
      <w:pPr>
        <w:pStyle w:val="Default"/>
        <w:numPr>
          <w:ilvl w:val="0"/>
          <w:numId w:val="11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konieczności wykonania prac wynikających z zaleceń organów administracji architektonicznobudowlanej, np. nadzoru budowlanego, PIP, wydanych stosownie do ich właściwości. Zmiana terminu wykonania umowy możliwa będzie o czas wynikający z protokołów ustaleń. 12 </w:t>
      </w:r>
    </w:p>
    <w:p>
      <w:pPr>
        <w:pStyle w:val="Default"/>
        <w:numPr>
          <w:ilvl w:val="0"/>
          <w:numId w:val="11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wystąpienia innych nieprzewidzianych przez Strony zdarzeń, których Strony nie mogły przewidzieć, a których wykonanie w sposób obiektywny uniemożliwia terminowe zakończenie realizacji przedmiotu umowy. Zmiana terminu wykonania umowy możliwa będzie o czas wynikający z protokołów ustaleń. </w:t>
      </w:r>
    </w:p>
    <w:p>
      <w:pPr>
        <w:pStyle w:val="Default"/>
        <w:numPr>
          <w:ilvl w:val="0"/>
          <w:numId w:val="10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Zmiany przedmiotu umowy, o którym mowa w § 1, która możliwa będzie w przypadku: </w:t>
      </w:r>
    </w:p>
    <w:p>
      <w:pPr>
        <w:pStyle w:val="Default"/>
        <w:numPr>
          <w:ilvl w:val="1"/>
          <w:numId w:val="10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konieczności zmiany zakresu prac, wynikające z wprowadzenia w dokumentacji projektowej istotnych lub nieistotnych zmian w rozumieniu ustawy Prawo budowlane,</w:t>
      </w:r>
    </w:p>
    <w:p>
      <w:pPr>
        <w:pStyle w:val="Default"/>
        <w:numPr>
          <w:ilvl w:val="1"/>
          <w:numId w:val="10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ograniczenia zakresu rzeczowego przedmiotu umowy,</w:t>
      </w:r>
    </w:p>
    <w:p>
      <w:pPr>
        <w:pStyle w:val="Default"/>
        <w:numPr>
          <w:ilvl w:val="0"/>
          <w:numId w:val="10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Zmiany wynagrodzenia należnego Wykonawcy za przedmiot umowy, o którym mowa w § 3 ust. 1, która możliwa będzie w przypadku: </w:t>
      </w:r>
    </w:p>
    <w:p>
      <w:pPr>
        <w:pStyle w:val="Default"/>
        <w:numPr>
          <w:ilvl w:val="0"/>
          <w:numId w:val="12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zmiany stawki podatku od towarów i usług, wprowadzonej powszechnie obowiązującymi przepisami prawa, jeżeli zmiana ta będzie miała wpływ na koszty wykonania zamówienia przez Wykonawcę – na pisemny i umotywowany wniosek każda ze Stron w terminie 30 dni od wejścia w życie przepisów dokonujących tych zmian, może zwrócić się do drugiej Strony o przeprowadzenie negocjacji w sprawie odpowiedniej zmiany wynagrodzenia. Zmiana może dotyczyć wyłącznie płatności za wykonane usługi po wejściu w życie przepisów zmieniających stawkę podatku od towarów i usług, </w:t>
      </w:r>
    </w:p>
    <w:p>
      <w:pPr>
        <w:pStyle w:val="Default"/>
        <w:numPr>
          <w:ilvl w:val="0"/>
          <w:numId w:val="12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zmiany wysokości minimalnego wynagrodzenia za pracę albo wysokości minimalnej stawki godzinowej, ustalonych na podstawie przepisów ustawy z dnia 10 października 2002 r. o minimalnym wynagrodzeniu za pracę, jeżeli zmiana ta będzie miała wpływ na koszty wykonania zamówienia przez Wykonawcę – w terminie 30 dni od wejścia w życie przepisów dokonujących tych zmian, Wykonawca może na pisemny i umotywowany wniosek zwrócić się do Zamawiającego o przeprowadzenie negocjacji w sprawie odpowiedniej zmiany wynagrodzenia. Wniosek Wykonawcy powinien zawierać w szczególności szczegółową kalkulację kosztów wykonania zamówienia z uwzględnieniem zmiany wysokości minimalnego wynagrodzenia za pracę. Powyższe dotyczy przypadków zmiany wysokości minimalnego wynagrodzenia za pracę albo wysokości minimalnej stawki godzinowej począwszy od roku 2020 w związku z tym, że w dniu 01 stycznia 2019 r. weszło w życie Rozporządzenie Rady Ministrów z dnia 11 września 2018 r. sprawie wysokości minimalnego wynagrodzenia za pracę oraz wysokości minimalnej stawki godzinowej w 2019 r.,</w:t>
      </w:r>
    </w:p>
    <w:p>
      <w:pPr>
        <w:pStyle w:val="Default"/>
        <w:numPr>
          <w:ilvl w:val="0"/>
          <w:numId w:val="12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zmiany zasad podlegania ubezpieczeniom społecznym lub ubezpieczeniu zdrowotnemu lub wysokości stawki składki na ubezpieczenia społeczne lub zdrowotne, jeżeli zmiana ta będzie miała wpływ na koszty wykonania zamówienia przez Wykonawcę – w terminie 30 dni od wejścia w życie przepisów dokonujących tych zmian, Wykonawca może na pisemny i umotywowany wniosek zwrócić się do Zamawiającego o przeprowadzenie negocjacji w sprawie odpowiedniej zmiany wynagrodzenia. Wniosek Wykonawcy powinien zawierać w szczególności szczegółową kalkulację kosztów wykonania zamówienia z uwzględnieniem zmiany wysokości stawki składki na ubezpieczenia społeczne lub zdrowotne, </w:t>
      </w:r>
    </w:p>
    <w:p>
      <w:pPr>
        <w:pStyle w:val="Default"/>
        <w:numPr>
          <w:ilvl w:val="0"/>
          <w:numId w:val="12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zmiany zasad gromadzenia i wysokości wpłat do pracowniczych planów kapitałowych, o których mowa w ustawie z dnia 4 października 2018 r. o pracowniczych planach kapitałowych – jeżeli zmiany te będą miały wpływ na koszty wykonania zamówienia przez Wykonawcę.</w:t>
      </w:r>
    </w:p>
    <w:p>
      <w:pPr>
        <w:pStyle w:val="Default"/>
        <w:numPr>
          <w:ilvl w:val="0"/>
          <w:numId w:val="10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Termin wejścia w życie ewentualnych wynegocjowanych zmian wynagrodzenia w przypadkach, o których mowa w pkt 4) ppkt a), ppkt b), ppkt c) i ppkt d), nastąpi z dniem wejścia w życie przepisów dokonujących tych zmian. </w:t>
      </w:r>
    </w:p>
    <w:p>
      <w:pPr>
        <w:pStyle w:val="Default"/>
        <w:numPr>
          <w:ilvl w:val="0"/>
          <w:numId w:val="7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 xml:space="preserve">Wystąpienie którejkolwiek z wymienionych w ust. 1 okoliczności nie stanowi bezwzględnego zobowiązania Zamawiającego do dokonania zmian, ani nie może stanowić podstawy roszczeń Wykonawcy do ich dokonania. </w:t>
      </w:r>
    </w:p>
    <w:p>
      <w:pPr>
        <w:pStyle w:val="Default"/>
        <w:numPr>
          <w:ilvl w:val="0"/>
          <w:numId w:val="7"/>
        </w:numPr>
        <w:spacing w:lineRule="auto" w:line="360"/>
        <w:jc w:val="both"/>
        <w:rPr>
          <w:rFonts w:ascii="Tahoma" w:hAnsi="Tahoma" w:cs="Tahoma"/>
          <w:color w:val="00000A"/>
          <w:sz w:val="16"/>
          <w:szCs w:val="16"/>
        </w:rPr>
      </w:pPr>
      <w:r>
        <w:rPr>
          <w:rFonts w:cs="Tahoma" w:ascii="Tahoma" w:hAnsi="Tahoma"/>
          <w:sz w:val="20"/>
          <w:szCs w:val="20"/>
        </w:rPr>
        <w:t>Wszelkie zmiany niniejszej umowy wymagają zgody obu Stron wyrażonej w formie pisemnej pod rygorem nieważności.</w:t>
      </w:r>
    </w:p>
    <w:p>
      <w:pPr>
        <w:pStyle w:val="Default"/>
        <w:spacing w:lineRule="auto" w:line="360"/>
        <w:jc w:val="center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b/>
          <w:b/>
          <w:bCs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11.</w:t>
      </w:r>
    </w:p>
    <w:p>
      <w:pPr>
        <w:pStyle w:val="Default"/>
        <w:spacing w:lineRule="auto" w:line="360" w:before="0" w:after="59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Wykonawca ponosi ryzyko związane z zaistnieniem zdarzeń losowych mogących wystąpić w czasie realizacji usługi objętej niniejszą umową i powodujących szkody po stronie Zamawiającego lub osób trzecich. </w:t>
      </w:r>
    </w:p>
    <w:p>
      <w:pPr>
        <w:pStyle w:val="Default"/>
        <w:spacing w:lineRule="auto" w:line="360" w:before="0" w:after="59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  <w:t xml:space="preserve">Wykonawca zobowiązany jest do zawarcia stosownej umowy ubezpieczenia. </w:t>
      </w:r>
    </w:p>
    <w:p>
      <w:pPr>
        <w:pStyle w:val="Default"/>
        <w:spacing w:lineRule="auto" w:line="360" w:before="0" w:after="59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12.</w:t>
      </w:r>
    </w:p>
    <w:p>
      <w:pPr>
        <w:pStyle w:val="Default"/>
        <w:numPr>
          <w:ilvl w:val="0"/>
          <w:numId w:val="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Strony postanawiają, że tytułem zabezpieczenia należytego wykonania umowy Wykonawca wniesie najpóźniej w dniu zawarcia umowy, zabezpieczenie w formie dopuszczonej prawnie przez ustawę Prawo zamówień publicznych (art. 148 ust. 1) w wysokości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>5% zaoferowanej ceny ofertowej brutto</w:t>
      </w:r>
      <w:r>
        <w:rPr>
          <w:rFonts w:cs="Tahoma" w:ascii="Tahoma" w:hAnsi="Tahoma"/>
          <w:color w:val="00000A"/>
          <w:sz w:val="20"/>
          <w:szCs w:val="20"/>
        </w:rPr>
        <w:t xml:space="preserve">. </w:t>
      </w:r>
    </w:p>
    <w:p>
      <w:pPr>
        <w:pStyle w:val="Default"/>
        <w:numPr>
          <w:ilvl w:val="0"/>
          <w:numId w:val="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Wykonawca wniósł zabezpieczenie należytego wykonania umowy w kwocie </w:t>
      </w:r>
      <w:r>
        <w:rPr>
          <w:rFonts w:cs="Tahoma" w:ascii="Tahoma" w:hAnsi="Tahoma"/>
          <w:b/>
          <w:bCs/>
          <w:color w:val="00000A"/>
          <w:sz w:val="20"/>
          <w:szCs w:val="20"/>
        </w:rPr>
        <w:t xml:space="preserve">............... …………............. zł </w:t>
      </w:r>
      <w:r>
        <w:rPr>
          <w:rFonts w:cs="Tahoma" w:ascii="Tahoma" w:hAnsi="Tahoma"/>
          <w:color w:val="00000A"/>
          <w:sz w:val="20"/>
          <w:szCs w:val="20"/>
        </w:rPr>
        <w:t xml:space="preserve">słownie: …................................................……………………, w formie...................................................... </w:t>
      </w:r>
    </w:p>
    <w:p>
      <w:pPr>
        <w:pStyle w:val="Default"/>
        <w:numPr>
          <w:ilvl w:val="0"/>
          <w:numId w:val="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Zabezpieczenie należytego wykonania umowy Wykonawca wnosi z ważnością 30 dni ponad termin końcowy określony w §2 umowy. </w:t>
      </w:r>
    </w:p>
    <w:p>
      <w:pPr>
        <w:pStyle w:val="Default"/>
        <w:numPr>
          <w:ilvl w:val="0"/>
          <w:numId w:val="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Zabezpieczenie wniesione w pieniądzu Wykonawca wpłaca przelewem na rachunek bankowy wskazany przez Zamawiającego. </w:t>
      </w:r>
    </w:p>
    <w:p>
      <w:pPr>
        <w:pStyle w:val="Default"/>
        <w:numPr>
          <w:ilvl w:val="0"/>
          <w:numId w:val="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Jeżeli zabezpieczenie wniesiono w pieniądzu, Zamawiający przechowuje 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 </w:t>
      </w:r>
    </w:p>
    <w:p>
      <w:pPr>
        <w:pStyle w:val="Default"/>
        <w:numPr>
          <w:ilvl w:val="0"/>
          <w:numId w:val="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W trakcie realizacji umowy Wykonawca może dokonać zmiany formy zabezpieczenia na jedną lub kilka form, o których mowa w art. 148 ust. 1 ustawy Prawo zamówień publicznych. </w:t>
      </w:r>
    </w:p>
    <w:p>
      <w:pPr>
        <w:pStyle w:val="Default"/>
        <w:numPr>
          <w:ilvl w:val="0"/>
          <w:numId w:val="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Zmiana formy zabezpieczenia jest dokonywana z zachowaniem ciągłości zabezpieczenia przez cały okres obowiązywania umowy i 30 dni po jego zakończeniu, bez zmniejszenia jego wysokości. </w:t>
      </w:r>
    </w:p>
    <w:p>
      <w:pPr>
        <w:pStyle w:val="Default"/>
        <w:numPr>
          <w:ilvl w:val="0"/>
          <w:numId w:val="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Zamawiający zwróci zabezpieczenie w terminie 30 dni po dniu ustalonym zgodnie z ust. 7, o ile przedmiot umowy zostanie należycie wykonany. </w:t>
      </w:r>
    </w:p>
    <w:p>
      <w:pPr>
        <w:pStyle w:val="Default"/>
        <w:numPr>
          <w:ilvl w:val="0"/>
          <w:numId w:val="3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W przypadku wydłużenia terminu realizacji umowy stosownym aneksem, Wykonawca dostarczy Zamawiającemu dokumenty potwierdzające przedłużenie terminów ważności wniesionego w innej formie niż gotówkowej, zabezpieczenia należytego wykonania umowy. </w:t>
      </w:r>
    </w:p>
    <w:p>
      <w:pPr>
        <w:pStyle w:val="Default"/>
        <w:spacing w:lineRule="auto" w:line="360"/>
        <w:ind w:left="720" w:hanging="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jc w:val="center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b/>
          <w:bCs/>
          <w:color w:val="00000A"/>
          <w:sz w:val="20"/>
          <w:szCs w:val="20"/>
        </w:rPr>
        <w:t>§ 13.</w:t>
      </w:r>
    </w:p>
    <w:p>
      <w:pPr>
        <w:pStyle w:val="Default"/>
        <w:numPr>
          <w:ilvl w:val="0"/>
          <w:numId w:val="15"/>
        </w:numPr>
        <w:spacing w:lineRule="auto" w:line="360"/>
        <w:jc w:val="both"/>
        <w:rPr/>
      </w:pPr>
      <w:r>
        <w:rPr>
          <w:rFonts w:cs="Tahoma" w:ascii="Tahoma" w:hAnsi="Tahoma"/>
          <w:sz w:val="20"/>
          <w:szCs w:val="20"/>
        </w:rPr>
        <w:t xml:space="preserve">Wykonawca nie może zbywać na rzecz osób trzecich wierzytelności powstałych w wyniku realizacji niniejszej umowy bez pisemnej zgody Zamawiającego pod rygorem nieważności. </w:t>
      </w:r>
    </w:p>
    <w:p>
      <w:pPr>
        <w:pStyle w:val="Default"/>
        <w:numPr>
          <w:ilvl w:val="0"/>
          <w:numId w:val="15"/>
        </w:numPr>
        <w:spacing w:lineRule="auto" w:line="360"/>
        <w:jc w:val="both"/>
        <w:rPr/>
      </w:pPr>
      <w:r>
        <w:rPr>
          <w:rFonts w:cs="Tahoma" w:ascii="Tahoma" w:hAnsi="Tahoma"/>
          <w:sz w:val="20"/>
          <w:szCs w:val="20"/>
        </w:rPr>
        <w:t>Ewentualne spory wynikłe na tle realizacji niniejszej umowy, które nie zostaną rozwiązane polubownie, Strony poddadzą pod rozstrzygnięcie sądu powszechnego właściwego dla siedziby Zamawiającego.</w:t>
      </w:r>
    </w:p>
    <w:p>
      <w:pPr>
        <w:pStyle w:val="Default"/>
        <w:numPr>
          <w:ilvl w:val="0"/>
          <w:numId w:val="15"/>
        </w:numPr>
        <w:spacing w:lineRule="auto" w:line="360"/>
        <w:jc w:val="both"/>
        <w:rPr/>
      </w:pPr>
      <w:r>
        <w:rPr>
          <w:rFonts w:cs="Tahoma" w:ascii="Tahoma" w:hAnsi="Tahoma"/>
          <w:color w:val="00000A"/>
          <w:sz w:val="20"/>
          <w:szCs w:val="20"/>
        </w:rPr>
        <w:t xml:space="preserve">W sprawach nieuregulowanych w niniejszej umowie zastosowanie mają przepisy obowiązującego prawa, w szczególności Kodeksu cywilnego oraz ustawy z dnia 29 stycznia 2004 r. Prawo zamówień publicznych. </w:t>
      </w:r>
    </w:p>
    <w:p>
      <w:pPr>
        <w:pStyle w:val="Default"/>
        <w:numPr>
          <w:ilvl w:val="0"/>
          <w:numId w:val="15"/>
        </w:numPr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  <w:t xml:space="preserve">Niniejsza umowa została sporządzona w czterech jednobrzmiących egzemplarzach, z których trzy egzemplarze otrzymuje Zamawiający, jeden zaś Wykonawca. </w:t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Default"/>
        <w:spacing w:lineRule="auto" w:line="360"/>
        <w:jc w:val="both"/>
        <w:rPr>
          <w:rFonts w:ascii="Tahoma" w:hAnsi="Tahoma" w:cs="Tahoma"/>
          <w:color w:val="00000A"/>
          <w:sz w:val="20"/>
          <w:szCs w:val="20"/>
        </w:rPr>
      </w:pPr>
      <w:r>
        <w:rPr>
          <w:rFonts w:cs="Tahoma" w:ascii="Tahoma" w:hAnsi="Tahoma"/>
          <w:color w:val="00000A"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/>
        <w:ind w:left="80" w:hanging="0"/>
        <w:jc w:val="center"/>
        <w:textAlignment w:val="baseline"/>
        <w:rPr>
          <w:rFonts w:eastAsia="SimSun" w:cs="Mangal"/>
          <w:kern w:val="2"/>
          <w:lang w:eastAsia="zh-CN" w:bidi="hi-IN"/>
        </w:rPr>
      </w:pPr>
      <w:r>
        <w:rPr>
          <w:rFonts w:eastAsia="SimSun" w:cs="Liberation Serif"/>
          <w:b/>
          <w:bCs/>
          <w:kern w:val="2"/>
          <w:lang w:eastAsia="zh-CN" w:bidi="hi-IN"/>
        </w:rPr>
        <w:t>ZAMAWIAJĄCY:                                                                                       WYKONAWCA:</w:t>
      </w:r>
    </w:p>
    <w:p>
      <w:pPr>
        <w:pStyle w:val="Standard"/>
        <w:spacing w:lineRule="auto" w:line="360"/>
        <w:ind w:left="80" w:hanging="0"/>
        <w:jc w:val="center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417" w:right="1417" w:header="708" w:top="1417" w:footer="708" w:bottom="1417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Rockwell">
    <w:charset w:val="ee"/>
    <w:family w:val="roman"/>
    <w:pitch w:val="variable"/>
  </w:font>
  <w:font w:name="Rockwell Condensed">
    <w:charset w:val="ee"/>
    <w:family w:val="roman"/>
    <w:pitch w:val="variable"/>
  </w:font>
  <w:font w:name="Segoe U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/>
      <w:jc w:val="center"/>
      <w:rPr>
        <w:rFonts w:ascii="Tahoma" w:hAnsi="Tahoma" w:cs="Tahoma"/>
        <w:sz w:val="16"/>
        <w:szCs w:val="16"/>
      </w:rPr>
    </w:pPr>
    <w:r>
      <w:rPr>
        <w:rFonts w:cs="Tahoma" w:ascii="Tahoma" w:hAnsi="Tahoma"/>
        <w:sz w:val="16"/>
        <w:szCs w:val="16"/>
      </w:rPr>
      <w:t>Kontrakt pn. Pełnienie nadzoru archeologicznego w ramach Kontraktu 1.3. „Budowa kanalizacji sanitarnej oraz przebudowa sieci wodociągowej na terenie wiejskim aglomeracji Ścinawa”</w:t>
    </w:r>
  </w:p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/>
      <w:jc w:val="center"/>
      <w:rPr>
        <w:rFonts w:ascii="Tahoma" w:hAnsi="Tahoma" w:cs="Tahoma"/>
        <w:sz w:val="16"/>
        <w:szCs w:val="16"/>
      </w:rPr>
    </w:pPr>
    <w:r>
      <w:rPr>
        <w:rFonts w:cs="Tahoma" w:ascii="Tahoma" w:hAnsi="Tahoma"/>
        <w:sz w:val="16"/>
        <w:szCs w:val="16"/>
      </w:rPr>
    </w:r>
  </w:p>
  <w:p>
    <w:pPr>
      <w:pStyle w:val="Stopka"/>
      <w:jc w:val="center"/>
      <w:rPr/>
    </w:pPr>
    <w:r>
      <w:rPr>
        <w:sz w:val="18"/>
        <w:szCs w:val="18"/>
      </w:rPr>
      <w:t xml:space="preserve">Strona </w:t>
    </w:r>
    <w:r>
      <w:rPr>
        <w:sz w:val="18"/>
        <w:szCs w:val="18"/>
      </w:rPr>
      <w:fldChar w:fldCharType="begin"/>
    </w:r>
    <w:r>
      <w:instrText> PAGE \* ARABIC </w:instrText>
    </w:r>
    <w:r>
      <w:fldChar w:fldCharType="separate"/>
    </w:r>
    <w:r>
      <w:t>11</w:t>
    </w:r>
    <w:r>
      <w:fldChar w:fldCharType="end"/>
    </w:r>
    <w:r>
      <w:rPr>
        <w:sz w:val="18"/>
        <w:szCs w:val="18"/>
      </w:rPr>
      <w:t xml:space="preserve"> z </w:t>
    </w:r>
    <w:r>
      <w:rPr>
        <w:sz w:val="18"/>
        <w:szCs w:val="18"/>
      </w:rPr>
      <w:fldChar w:fldCharType="begin"/>
    </w:r>
    <w:r>
      <w:instrText> NUMPAGES </w:instrText>
    </w:r>
    <w:r>
      <w:fldChar w:fldCharType="separate"/>
    </w:r>
    <w:r>
      <w:t>11</w:t>
    </w:r>
    <w:r>
      <w:fldChar w:fldCharType="end"/>
    </w:r>
  </w:p>
  <w:p>
    <w:pPr>
      <w:pStyle w:val="Stopka"/>
      <w:jc w:val="cen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24" w:space="1" w:color="622423"/>
      </w:pBdr>
      <w:tabs>
        <w:tab w:val="center" w:pos="4536" w:leader="none"/>
        <w:tab w:val="right" w:pos="9072" w:leader="none"/>
      </w:tabs>
      <w:spacing w:lineRule="auto" w:line="240"/>
      <w:jc w:val="center"/>
      <w:rPr>
        <w:rFonts w:ascii="Tahoma" w:hAnsi="Tahoma" w:cs="Tahoma"/>
        <w:sz w:val="16"/>
        <w:szCs w:val="16"/>
      </w:rPr>
    </w:pPr>
    <w:r>
      <w:rPr>
        <w:rFonts w:cs="Tahoma" w:ascii="Tahoma" w:hAnsi="Tahoma"/>
        <w:sz w:val="16"/>
        <w:szCs w:val="16"/>
      </w:rPr>
      <w:t xml:space="preserve">Kontrakt pn. </w:t>
    </w:r>
    <w:bookmarkStart w:id="5" w:name="_Hlk16082005"/>
    <w:bookmarkStart w:id="6" w:name="_Hlk16600393"/>
    <w:bookmarkEnd w:id="5"/>
    <w:bookmarkEnd w:id="6"/>
    <w:r>
      <w:rPr>
        <w:rFonts w:cs="Tahoma" w:ascii="Tahoma" w:hAnsi="Tahoma"/>
        <w:sz w:val="16"/>
        <w:szCs w:val="16"/>
      </w:rPr>
      <w:t>Pełnienie nadzoru archeologicznego w ramach Kontraktu 1.3. „Budowa kanalizacji sanitarnej oraz przebudowa sieci wodociągowej na terenie wiejskim aglomeracji Ścinawa”</w:t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6350" distL="0" distR="0">
          <wp:extent cx="5760720" cy="736600"/>
          <wp:effectExtent l="0" t="0" r="0" b="0"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6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-Siatka"/>
      <w:tblW w:w="9072" w:type="dxa"/>
      <w:jc w:val="left"/>
      <w:tblInd w:w="0" w:type="dxa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8849"/>
      <w:gridCol w:w="222"/>
    </w:tblGrid>
    <w:tr>
      <w:trPr/>
      <w:tc>
        <w:tcPr>
          <w:tcW w:w="8849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Normal"/>
            <w:spacing w:lineRule="auto" w:line="240" w:before="0" w:after="0"/>
            <w:rPr>
              <w:rFonts w:cs="Times New Roman"/>
              <w:szCs w:val="24"/>
            </w:rPr>
          </w:pPr>
          <w:r>
            <w:rPr/>
            <w:drawing>
              <wp:inline distT="0" distB="6350" distL="0" distR="0">
                <wp:extent cx="5760720" cy="736600"/>
                <wp:effectExtent l="0" t="0" r="0" b="0"/>
                <wp:docPr id="2" name="Obraz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736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2" w:type="dxa"/>
          <w:tcBorders>
            <w:top w:val="nil"/>
            <w:left w:val="nil"/>
            <w:bottom w:val="nil"/>
            <w:right w:val="nil"/>
            <w:insideH w:val="nil"/>
            <w:insideV w:val="nil"/>
          </w:tcBorders>
          <w:shd w:fill="auto" w:val="clear"/>
        </w:tcPr>
        <w:p>
          <w:pPr>
            <w:pStyle w:val="Normal"/>
            <w:spacing w:lineRule="auto" w:line="240" w:before="0" w:after="0"/>
            <w:rPr>
              <w:rFonts w:cs="Times New Roman"/>
              <w:szCs w:val="24"/>
            </w:rPr>
          </w:pPr>
          <w:r>
            <w:rPr>
              <w:rFonts w:cs="Times New Roman"/>
              <w:szCs w:val="24"/>
            </w:rPr>
          </w:r>
        </w:p>
      </w:tc>
    </w:tr>
  </w:tbl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upperRoman"/>
      <w:lvlText w:val="%1."/>
      <w:lvlJc w:val="right"/>
      <w:pPr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sz w:val="20"/>
        <w:i w:val="false"/>
        <w:b/>
        <w:rFonts w:ascii="Tahoma" w:hAnsi="Tahoma"/>
      </w:rPr>
    </w:lvl>
    <w:lvl w:ilvl="1">
      <w:start w:val="1"/>
      <w:numFmt w:val="decimal"/>
      <w:lvlText w:val="%2)"/>
      <w:lvlJc w:val="left"/>
      <w:pPr>
        <w:ind w:left="567" w:hanging="360"/>
      </w:pPr>
      <w:rPr>
        <w:sz w:val="20"/>
        <w:b/>
        <w:rFonts w:ascii="Tahoma" w:hAnsi="Tahoma"/>
      </w:r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  <w:rPr>
        <w:sz w:val="16"/>
        <w:b/>
        <w:bCs w:val="false"/>
        <w:rFonts w:ascii="Tahoma" w:hAnsi="Tahom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360" w:hanging="360"/>
      </w:pPr>
      <w:rPr>
        <w:sz w:val="16"/>
        <w:b/>
        <w:szCs w:val="20"/>
        <w:bCs w:val="false"/>
        <w:rFonts w:ascii="Tahoma" w:hAnsi="Tahom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360" w:hanging="360"/>
      </w:pPr>
      <w:rPr>
        <w:sz w:val="16"/>
        <w:szCs w:val="20"/>
        <w:rFonts w:ascii="Tahoma" w:hAnsi="Tahom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sz w:val="16"/>
        <w:szCs w:val="20"/>
        <w:rFonts w:ascii="Tahoma" w:hAnsi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lvl w:ilvl="0">
      <w:start w:val="1"/>
      <w:numFmt w:val="decimal"/>
      <w:lvlText w:val="%1)"/>
      <w:lvlJc w:val="left"/>
      <w:pPr>
        <w:ind w:left="1440" w:hanging="360"/>
      </w:pPr>
      <w:rPr>
        <w:sz w:val="16"/>
        <w:szCs w:val="20"/>
        <w:rFonts w:ascii="Tahoma" w:hAnsi="Tahoma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z w:val="16"/>
        <w:rFonts w:ascii="Tahoma" w:hAnsi="Tahoma"/>
      </w:r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lvl w:ilvl="0">
      <w:start w:val="1"/>
      <w:numFmt w:val="lowerLetter"/>
      <w:lvlText w:val="%1)"/>
      <w:lvlJc w:val="left"/>
      <w:pPr>
        <w:ind w:left="1778" w:hanging="360"/>
      </w:pPr>
      <w:rPr>
        <w:sz w:val="16"/>
        <w:szCs w:val="20"/>
        <w:rFonts w:ascii="Tahoma" w:hAnsi="Tahoma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lvl w:ilvl="0">
      <w:start w:val="1"/>
      <w:numFmt w:val="lowerLetter"/>
      <w:lvlText w:val="%1)"/>
      <w:lvlJc w:val="left"/>
      <w:pPr>
        <w:ind w:left="1778" w:hanging="360"/>
      </w:pPr>
      <w:rPr>
        <w:sz w:val="16"/>
        <w:szCs w:val="20"/>
        <w:rFonts w:ascii="Tahoma" w:hAnsi="Tahoma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w="http://schemas.openxmlformats.org/wordprocessingml/2006/main">
  <w:zoom w:percent="148"/>
  <w:trackRevision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Rockwell" w:hAnsi="Rockwell" w:eastAsia="Rockwell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412f1"/>
    <w:pPr>
      <w:widowControl/>
      <w:bidi w:val="0"/>
      <w:spacing w:lineRule="auto" w:line="360" w:before="0" w:after="0"/>
      <w:jc w:val="left"/>
    </w:pPr>
    <w:rPr>
      <w:rFonts w:ascii="Liberation Serif" w:hAnsi="Liberation Serif" w:eastAsia="Rockwell" w:cs="" w:cstheme="minorBidi" w:eastAsia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4253e3"/>
    <w:pPr>
      <w:keepNext w:val="true"/>
      <w:keepLines/>
      <w:numPr>
        <w:ilvl w:val="0"/>
        <w:numId w:val="1"/>
      </w:numPr>
      <w:spacing w:before="120" w:after="0"/>
      <w:ind w:left="714" w:hanging="357"/>
      <w:outlineLvl w:val="0"/>
    </w:pPr>
    <w:rPr>
      <w:rFonts w:eastAsia="" w:cs="" w:cstheme="majorBidi" w:eastAsiaTheme="majorEastAsia"/>
      <w:b/>
      <w:sz w:val="24"/>
      <w:szCs w:val="32"/>
    </w:rPr>
  </w:style>
  <w:style w:type="paragraph" w:styleId="Nagwek9">
    <w:name w:val="Heading 9"/>
    <w:basedOn w:val="Normal"/>
    <w:link w:val="Nagwek9Znak"/>
    <w:uiPriority w:val="9"/>
    <w:semiHidden/>
    <w:unhideWhenUsed/>
    <w:qFormat/>
    <w:rsid w:val="00bc18b6"/>
    <w:pPr>
      <w:keepNext w:val="true"/>
      <w:keepLines/>
      <w:spacing w:before="40" w:after="0"/>
      <w:outlineLvl w:val="8"/>
    </w:pPr>
    <w:rPr>
      <w:rFonts w:ascii="Rockwell Condensed" w:hAnsi="Rockwell Condensed" w:eastAsia="" w:cs="" w:asciiTheme="majorHAnsi" w:cstheme="majorBidi" w:eastAsiaTheme="majorEastAsia" w:hAnsiTheme="majorHAns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f4600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f46006"/>
    <w:rPr/>
  </w:style>
  <w:style w:type="character" w:styleId="TytuZnak" w:customStyle="1">
    <w:name w:val="Tytuł Znak"/>
    <w:basedOn w:val="DefaultParagraphFont"/>
    <w:link w:val="Tytu"/>
    <w:uiPriority w:val="10"/>
    <w:qFormat/>
    <w:rsid w:val="004253e3"/>
    <w:rPr>
      <w:rFonts w:ascii="Liberation Serif" w:hAnsi="Liberation Serif" w:eastAsia="" w:cs="" w:cstheme="majorBidi" w:eastAsiaTheme="majorEastAsia"/>
      <w:b/>
      <w:spacing w:val="-10"/>
      <w:kern w:val="2"/>
      <w:sz w:val="24"/>
      <w:szCs w:val="56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4253e3"/>
    <w:rPr>
      <w:rFonts w:ascii="Liberation Serif" w:hAnsi="Liberation Serif" w:eastAsia="" w:cs="" w:cstheme="majorBidi" w:eastAsiaTheme="majorEastAsia"/>
      <w:b/>
      <w:sz w:val="24"/>
      <w:szCs w:val="32"/>
    </w:rPr>
  </w:style>
  <w:style w:type="character" w:styleId="Mocnowyrniony" w:customStyle="1">
    <w:name w:val="Mocno wyróżniony"/>
    <w:qFormat/>
    <w:rsid w:val="0015588d"/>
    <w:rPr>
      <w:b/>
      <w:bCs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bc18b6"/>
    <w:rPr>
      <w:rFonts w:ascii="Rockwell Condensed" w:hAnsi="Rockwell Condensed" w:eastAsia="" w:cs="" w:asciiTheme="majorHAnsi" w:cstheme="majorBidi" w:eastAsiaTheme="majorEastAsia" w:hAnsiTheme="majorHAnsi"/>
      <w:i/>
      <w:iCs/>
      <w:color w:val="272727" w:themeColor="text1" w:themeTint="d8"/>
      <w:sz w:val="21"/>
      <w:szCs w:val="21"/>
    </w:rPr>
  </w:style>
  <w:style w:type="character" w:styleId="Strong">
    <w:name w:val="Strong"/>
    <w:qFormat/>
    <w:rsid w:val="00494eec"/>
    <w:rPr>
      <w:b/>
      <w:bCs/>
    </w:rPr>
  </w:style>
  <w:style w:type="character" w:styleId="TekstpodstawowyZnak" w:customStyle="1">
    <w:name w:val="Tekst podstawowy Znak"/>
    <w:basedOn w:val="DefaultParagraphFont"/>
    <w:link w:val="Tekstpodstawowy"/>
    <w:qFormat/>
    <w:rsid w:val="00494eec"/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b6dac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ab6dac"/>
    <w:rPr>
      <w:rFonts w:ascii="Liberation Serif" w:hAnsi="Liberation Serif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ab6dac"/>
    <w:rPr>
      <w:rFonts w:ascii="Liberation Serif" w:hAnsi="Liberation Serif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b6dac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b/>
      <w:sz w:val="28"/>
    </w:rPr>
  </w:style>
  <w:style w:type="character" w:styleId="ListLabel2">
    <w:name w:val="ListLabel 2"/>
    <w:qFormat/>
    <w:rPr>
      <w:b w:val="false"/>
      <w:bCs w:val="false"/>
      <w:sz w:val="24"/>
    </w:rPr>
  </w:style>
  <w:style w:type="character" w:styleId="ListLabel3">
    <w:name w:val="ListLabel 3"/>
    <w:qFormat/>
    <w:rPr>
      <w:b w:val="false"/>
      <w:bCs w:val="false"/>
      <w:sz w:val="24"/>
      <w:szCs w:val="24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b w:val="false"/>
      <w:bCs w:val="false"/>
      <w:sz w:val="24"/>
    </w:rPr>
  </w:style>
  <w:style w:type="character" w:styleId="ListLabel8">
    <w:name w:val="ListLabel 8"/>
    <w:qFormat/>
    <w:rPr>
      <w:rFonts w:ascii="Tahoma" w:hAnsi="Tahoma"/>
      <w:b/>
      <w:i w:val="false"/>
      <w:sz w:val="20"/>
    </w:rPr>
  </w:style>
  <w:style w:type="character" w:styleId="ListLabel9">
    <w:name w:val="ListLabel 9"/>
    <w:qFormat/>
    <w:rPr>
      <w:rFonts w:ascii="Tahoma" w:hAnsi="Tahoma"/>
      <w:b/>
      <w:sz w:val="20"/>
    </w:rPr>
  </w:style>
  <w:style w:type="character" w:styleId="ListLabel10">
    <w:name w:val="ListLabel 10"/>
    <w:qFormat/>
    <w:rPr>
      <w:rFonts w:ascii="Tahoma" w:hAnsi="Tahoma"/>
      <w:b/>
      <w:bCs w:val="false"/>
      <w:sz w:val="16"/>
    </w:rPr>
  </w:style>
  <w:style w:type="character" w:styleId="ListLabel11">
    <w:name w:val="ListLabel 11"/>
    <w:qFormat/>
    <w:rPr>
      <w:rFonts w:ascii="Tahoma" w:hAnsi="Tahoma"/>
      <w:b/>
      <w:bCs w:val="false"/>
      <w:sz w:val="16"/>
      <w:szCs w:val="20"/>
    </w:rPr>
  </w:style>
  <w:style w:type="character" w:styleId="ListLabel12">
    <w:name w:val="ListLabel 12"/>
    <w:qFormat/>
    <w:rPr>
      <w:rFonts w:ascii="Tahoma" w:hAnsi="Tahoma"/>
      <w:sz w:val="16"/>
      <w:szCs w:val="20"/>
    </w:rPr>
  </w:style>
  <w:style w:type="character" w:styleId="ListLabel13">
    <w:name w:val="ListLabel 13"/>
    <w:qFormat/>
    <w:rPr>
      <w:rFonts w:ascii="Tahoma" w:hAnsi="Tahoma"/>
      <w:sz w:val="16"/>
      <w:szCs w:val="20"/>
    </w:rPr>
  </w:style>
  <w:style w:type="character" w:styleId="ListLabel14">
    <w:name w:val="ListLabel 14"/>
    <w:qFormat/>
    <w:rPr>
      <w:rFonts w:ascii="Tahoma" w:hAnsi="Tahoma"/>
      <w:sz w:val="16"/>
      <w:szCs w:val="20"/>
    </w:rPr>
  </w:style>
  <w:style w:type="character" w:styleId="ListLabel15">
    <w:name w:val="ListLabel 15"/>
    <w:qFormat/>
    <w:rPr>
      <w:rFonts w:ascii="Tahoma" w:hAnsi="Tahoma"/>
      <w:sz w:val="16"/>
    </w:rPr>
  </w:style>
  <w:style w:type="character" w:styleId="ListLabel16">
    <w:name w:val="ListLabel 16"/>
    <w:qFormat/>
    <w:rPr>
      <w:rFonts w:ascii="Tahoma" w:hAnsi="Tahoma"/>
      <w:sz w:val="16"/>
      <w:szCs w:val="20"/>
    </w:rPr>
  </w:style>
  <w:style w:type="character" w:styleId="ListLabel17">
    <w:name w:val="ListLabel 17"/>
    <w:qFormat/>
    <w:rPr>
      <w:sz w:val="20"/>
      <w:szCs w:val="20"/>
    </w:rPr>
  </w:style>
  <w:style w:type="character" w:styleId="ListLabel18">
    <w:name w:val="ListLabel 18"/>
    <w:qFormat/>
    <w:rPr>
      <w:color w:val="000000"/>
      <w:sz w:val="20"/>
    </w:rPr>
  </w:style>
  <w:style w:type="character" w:styleId="ListLabel19">
    <w:name w:val="ListLabel 19"/>
    <w:qFormat/>
    <w:rPr>
      <w:rFonts w:ascii="Tahoma" w:hAnsi="Tahoma"/>
      <w:sz w:val="16"/>
      <w:szCs w:val="20"/>
    </w:rPr>
  </w:style>
  <w:style w:type="character" w:styleId="ListLabel20">
    <w:name w:val="ListLabel 20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494eec"/>
    <w:pPr>
      <w:widowControl w:val="false"/>
      <w:suppressAutoHyphens w:val="true"/>
      <w:spacing w:lineRule="auto" w:line="288" w:before="0" w:after="140"/>
    </w:pPr>
    <w:rPr>
      <w:rFonts w:eastAsia="SimSun" w:cs="Mangal"/>
      <w:kern w:val="2"/>
      <w:sz w:val="24"/>
      <w:szCs w:val="24"/>
      <w:lang w:eastAsia="zh-CN" w:bidi="hi-IN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link w:val="NagwekZnak"/>
    <w:unhideWhenUsed/>
    <w:rsid w:val="00f46006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Stopka">
    <w:name w:val="Footer"/>
    <w:basedOn w:val="Normal"/>
    <w:link w:val="StopkaZnak"/>
    <w:uiPriority w:val="99"/>
    <w:unhideWhenUsed/>
    <w:rsid w:val="00f46006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Tytu">
    <w:name w:val="Title"/>
    <w:basedOn w:val="Normal"/>
    <w:link w:val="TytuZnak"/>
    <w:uiPriority w:val="10"/>
    <w:qFormat/>
    <w:rsid w:val="004253e3"/>
    <w:pPr>
      <w:spacing w:lineRule="auto" w:line="240" w:before="0" w:after="0"/>
      <w:contextualSpacing/>
    </w:pPr>
    <w:rPr>
      <w:rFonts w:eastAsia="" w:cs="" w:cstheme="majorBidi" w:eastAsiaTheme="majorEastAsia"/>
      <w:b/>
      <w:spacing w:val="-10"/>
      <w:kern w:val="2"/>
      <w:sz w:val="24"/>
      <w:szCs w:val="56"/>
    </w:rPr>
  </w:style>
  <w:style w:type="paragraph" w:styleId="ListParagraph">
    <w:name w:val="List Paragraph"/>
    <w:basedOn w:val="Normal"/>
    <w:qFormat/>
    <w:rsid w:val="0009678a"/>
    <w:pPr>
      <w:suppressAutoHyphens w:val="true"/>
      <w:spacing w:before="0" w:after="0"/>
      <w:ind w:left="720" w:hanging="0"/>
      <w:contextualSpacing/>
    </w:pPr>
    <w:rPr>
      <w:color w:val="00000A"/>
    </w:rPr>
  </w:style>
  <w:style w:type="paragraph" w:styleId="Standard" w:customStyle="1">
    <w:name w:val="Standard"/>
    <w:qFormat/>
    <w:rsid w:val="00cf3c5f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eastAsia="zh-CN" w:bidi="hi-IN" w:val="pl-PL"/>
    </w:rPr>
  </w:style>
  <w:style w:type="paragraph" w:styleId="NoSpacing">
    <w:name w:val="No Spacing"/>
    <w:qFormat/>
    <w:rsid w:val="0015588d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1"/>
      <w:lang w:eastAsia="zh-CN" w:bidi="hi-IN" w:val="pl-PL"/>
    </w:rPr>
  </w:style>
  <w:style w:type="paragraph" w:styleId="Zawartotabeli" w:customStyle="1">
    <w:name w:val="Zawartość tabeli"/>
    <w:basedOn w:val="Normal"/>
    <w:qFormat/>
    <w:rsid w:val="00bc18b6"/>
    <w:pPr>
      <w:keepNext w:val="true"/>
      <w:widowControl w:val="false"/>
      <w:suppressLineNumbers/>
      <w:shd w:val="clear" w:color="auto" w:fill="FFFFFF"/>
      <w:suppressAutoHyphens w:val="true"/>
      <w:spacing w:lineRule="auto" w:line="240"/>
      <w:textAlignment w:val="baseline"/>
    </w:pPr>
    <w:rPr>
      <w:rFonts w:eastAsia="SimSun" w:cs="Mangal"/>
      <w:color w:val="00000A"/>
      <w:sz w:val="24"/>
      <w:szCs w:val="24"/>
      <w:lang w:eastAsia="zh-CN" w:bidi="hi-IN"/>
    </w:rPr>
  </w:style>
  <w:style w:type="paragraph" w:styleId="Default" w:customStyle="1">
    <w:name w:val="Default"/>
    <w:qFormat/>
    <w:rsid w:val="00fc59c8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Rockwell"/>
      <w:color w:val="000000"/>
      <w:kern w:val="0"/>
      <w:sz w:val="24"/>
      <w:szCs w:val="24"/>
      <w:lang w:val="pl-PL" w:eastAsia="en-US" w:bidi="ar-SA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b6da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b6dac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b6dac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86c42"/>
    <w:pPr>
      <w:widowControl/>
      <w:bidi w:val="0"/>
      <w:spacing w:lineRule="auto" w:line="240" w:before="0" w:after="0"/>
      <w:jc w:val="left"/>
    </w:pPr>
    <w:rPr>
      <w:rFonts w:ascii="Liberation Serif" w:hAnsi="Liberation Serif" w:eastAsia="Rockwell" w:cs="" w:cstheme="minorBidi" w:eastAsia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0967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asiatki4akcent5">
    <w:name w:val="Grid Table 4 Accent 5"/>
    <w:basedOn w:val="Standardowy"/>
    <w:uiPriority w:val="49"/>
    <w:rsid w:val="008d1422"/>
    <w:pPr>
      <w:spacing w:after="0" w:line="240" w:lineRule="auto"/>
    </w:pPr>
    <w:tblPr>
      <w:tblStyleRowBandSize w:val="1"/>
      <w:tblStyleColBandSize w:val="1"/>
      <w:tblBorders>
        <w:top w:val="single" w:color="BDB5B5" w:themeColor="accent5" w:themeTint="99" w:sz="4" w:space="0"/>
        <w:left w:val="single" w:color="BDB5B5" w:themeColor="accent5" w:themeTint="99" w:sz="4" w:space="0"/>
        <w:bottom w:val="single" w:color="BDB5B5" w:themeColor="accent5" w:themeTint="99" w:sz="4" w:space="0"/>
        <w:right w:val="single" w:color="BDB5B5" w:themeColor="accent5" w:themeTint="99" w:sz="4" w:space="0"/>
        <w:insideH w:val="single" w:color="BDB5B5" w:themeColor="accent5" w:themeTint="99" w:sz="4" w:space="0"/>
        <w:insideV w:val="single" w:color="BDB5B5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918485" w:themeColor="accent5" w:sz="4" w:space="0"/>
          <w:left w:val="single" w:color="918485" w:themeColor="accent5" w:sz="4" w:space="0"/>
          <w:bottom w:val="single" w:color="918485" w:themeColor="accent5" w:sz="4" w:space="0"/>
          <w:right w:val="single" w:color="918485" w:themeColor="accent5" w:sz="4" w:space="0"/>
          <w:insideH w:val="nil"/>
          <w:insideV w:val="nil"/>
        </w:tcBorders>
        <w:shd w:val="clear" w:color="auto" w:fill="918485" w:themeFill="accent5"/>
      </w:tcPr>
    </w:tblStylePr>
    <w:tblStylePr w:type="lastRow">
      <w:rPr>
        <w:b/>
        <w:bCs/>
      </w:rPr>
      <w:tblPr/>
      <w:tcPr>
        <w:tcBorders>
          <w:top w:val="double" w:color="918485" w:themeColor="accent5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9E6E6" w:themeFill="accent5" w:themeFillTint="33"/>
      </w:tcPr>
    </w:tblStylePr>
    <w:tblStylePr w:type="band1Horz">
      <w:tblPr/>
      <w:tcPr>
        <w:shd w:val="clear" w:color="auto" w:fill="E9E6E6" w:themeFill="accent5" w:themeFillTint="33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Drewniana czcionka">
  <a:themeElements>
    <a:clrScheme name="Drewniana czcionka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Drewniana czcionka">
      <a:majorFont>
        <a:latin typeface="Rockwell Condensed" panose="02060603050405020104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Drewniana czcionka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hade val="63000"/>
              </a:schemeClr>
              <a:schemeClr val="phClr">
                <a:tint val="10000"/>
                <a:satMod val="150000"/>
              </a:schemeClr>
            </a:duotone>
          </a:blip>
          <a:tile tx="0" ty="0" sx="60000" sy="59000" flip="none" algn="tl"/>
        </a:blipFill>
        <a:blipFill rotWithShape="1">
          <a:blip xmlns:r="http://schemas.openxmlformats.org/officeDocument/2006/relationships" r:embed="rId1">
            <a:duotone>
              <a:schemeClr val="phClr">
                <a:shade val="36000"/>
                <a:satMod val="120000"/>
              </a:schemeClr>
              <a:schemeClr val="phClr">
                <a:tint val="40000"/>
              </a:schemeClr>
            </a:duotone>
          </a:blip>
          <a:tile tx="0" ty="0" sx="60000" sy="59000" flip="none" algn="tl"/>
        </a:blip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shade val="97000"/>
            <a:satMod val="15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5000"/>
                <a:shade val="58000"/>
                <a:satMod val="120000"/>
              </a:schemeClr>
              <a:schemeClr val="phClr">
                <a:tint val="50000"/>
                <a:shade val="96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Wood Type" id="{7ACABC62-BF99-48CF-A9DC-4DB89C7B13DC}" vid="{142A1326-48AB-42A9-8428-CB14AA30176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LibreOffice/5.4.4.2$Windows_x86 LibreOffice_project/2524958677847fb3bb44820e40380acbe820f960</Application>
  <Pages>11</Pages>
  <Words>3200</Words>
  <Characters>20767</Characters>
  <CharactersWithSpaces>23932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2019-08-22T16:04:00Z</dcterms:created>
  <dc:creator>MartaMerena</dc:creator>
  <dc:description/>
  <dc:language>pl-PL</dc:language>
  <cp:lastModifiedBy/>
  <cp:lastPrinted>2019-08-23T09:06:00Z</cp:lastPrinted>
  <dcterms:modified xsi:type="dcterms:W3CDTF">2019-08-23T15:29:16Z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