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535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p w14:paraId="732AB2D0" w14:textId="79EE3F03"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JRP271.5.2017                                                                                                           </w:t>
      </w:r>
      <w:r>
        <w:rPr>
          <w:rFonts w:ascii="Times New Roman" w:eastAsia="Times New Roman" w:hAnsi="Times New Roman" w:cs="Times New Roman"/>
          <w:color w:val="auto"/>
          <w:sz w:val="22"/>
          <w:szCs w:val="22"/>
        </w:rPr>
        <w:tab/>
      </w:r>
      <w:r>
        <w:rPr>
          <w:rFonts w:ascii="Times New Roman" w:eastAsia="Times New Roman" w:hAnsi="Times New Roman" w:cs="Times New Roman"/>
          <w:color w:val="auto"/>
          <w:sz w:val="22"/>
          <w:szCs w:val="22"/>
        </w:rPr>
        <w:tab/>
      </w:r>
      <w:r>
        <w:rPr>
          <w:rFonts w:ascii="Times New Roman" w:eastAsia="Times New Roman" w:hAnsi="Times New Roman" w:cs="Times New Roman"/>
          <w:color w:val="auto"/>
          <w:sz w:val="22"/>
          <w:szCs w:val="22"/>
        </w:rPr>
        <w:tab/>
      </w:r>
      <w:r>
        <w:rPr>
          <w:rFonts w:ascii="Times New Roman" w:eastAsia="Times New Roman" w:hAnsi="Times New Roman" w:cs="Times New Roman"/>
          <w:color w:val="auto"/>
          <w:sz w:val="22"/>
          <w:szCs w:val="22"/>
        </w:rPr>
        <w:tab/>
      </w:r>
      <w:r>
        <w:rPr>
          <w:rFonts w:ascii="Times New Roman" w:eastAsia="Times New Roman" w:hAnsi="Times New Roman" w:cs="Times New Roman"/>
          <w:color w:val="auto"/>
          <w:sz w:val="22"/>
          <w:szCs w:val="22"/>
        </w:rPr>
        <w:tab/>
      </w:r>
      <w:r w:rsidRPr="00AF0BBB">
        <w:rPr>
          <w:rFonts w:ascii="Times New Roman" w:eastAsia="Times New Roman" w:hAnsi="Times New Roman" w:cs="Times New Roman"/>
          <w:color w:val="auto"/>
          <w:sz w:val="22"/>
          <w:szCs w:val="22"/>
        </w:rPr>
        <w:t> Ścinawa, 31.10.2017r.</w:t>
      </w:r>
    </w:p>
    <w:p w14:paraId="481AB95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p>
    <w:p w14:paraId="444622E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9252" w:firstLine="108"/>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Wszyscy wykonawcy</w:t>
      </w:r>
    </w:p>
    <w:p w14:paraId="51B5533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4"/>
          <w:szCs w:val="24"/>
        </w:rPr>
        <w:br/>
      </w:r>
    </w:p>
    <w:p w14:paraId="3445CB9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Dotyczy:  „Budowa kanalizacji sanitarnej oraz budowa i przebudowa sieci wodociągowej magistralnej wraz z budową hydroforni na terenie wiejskim aglomeracji Ścinawa” - postępowanie prowadzone w trybie przetargu nieograniczonego zgodnie z Ustawą Prawo Zamówień Publicznych, oznaczenie postępowania:</w:t>
      </w:r>
    </w:p>
    <w:p w14:paraId="749FD6D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JRP.271.5.2017 ; Ogłoszenie nr Dz.U/S 183-374194-2017 PL z dnia 23/09/2017.</w:t>
      </w:r>
    </w:p>
    <w:p w14:paraId="3302BDE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p w14:paraId="0B3CADE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Postępowanie jest prowadzone w trybie przetargu nieograniczonego, zgodnie z ustawą z dnia 29 stycznia 2004 r. Prawo zamówień publicznych (Dz. U. 2016 Nr 0, , poz. 2260 z </w:t>
      </w:r>
      <w:proofErr w:type="spellStart"/>
      <w:r w:rsidRPr="00AF0BBB">
        <w:rPr>
          <w:rFonts w:ascii="Times New Roman" w:eastAsia="Times New Roman" w:hAnsi="Times New Roman" w:cs="Times New Roman"/>
          <w:color w:val="auto"/>
          <w:sz w:val="22"/>
          <w:szCs w:val="22"/>
        </w:rPr>
        <w:t>późn</w:t>
      </w:r>
      <w:proofErr w:type="spellEnd"/>
      <w:r w:rsidRPr="00AF0BBB">
        <w:rPr>
          <w:rFonts w:ascii="Times New Roman" w:eastAsia="Times New Roman" w:hAnsi="Times New Roman" w:cs="Times New Roman"/>
          <w:color w:val="auto"/>
          <w:sz w:val="22"/>
          <w:szCs w:val="22"/>
        </w:rPr>
        <w:t>. zm.).</w:t>
      </w:r>
    </w:p>
    <w:p w14:paraId="31E91080" w14:textId="43F44B0E" w:rsid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2"/>
          <w:szCs w:val="22"/>
        </w:rPr>
      </w:pPr>
      <w:r w:rsidRPr="00AF0BBB">
        <w:rPr>
          <w:rFonts w:ascii="Times New Roman" w:eastAsia="Times New Roman" w:hAnsi="Times New Roman" w:cs="Times New Roman"/>
          <w:color w:val="auto"/>
          <w:sz w:val="22"/>
          <w:szCs w:val="22"/>
        </w:rPr>
        <w:t>Działając na podstawie art. 38 ustawy z dnia 29 stycznia 2004 r. Prawo zamówień publicznych informujemy, że do Zamawiającego wpłynęły wnioski o wyjaśnienie treści Specyfikacji Istotnych Warunków Zamówienia na które, zgodnie z art. 38 ust. 1 pkt.1 oraz ust 2, bez ujawniania źródła zapytania Zamawiający udziela odpowiedzi:</w:t>
      </w:r>
    </w:p>
    <w:p w14:paraId="0DF0206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14"/>
        <w:gridCol w:w="7249"/>
        <w:gridCol w:w="5331"/>
      </w:tblGrid>
      <w:tr w:rsidR="00AF0BBB" w:rsidRPr="00AF0BBB" w14:paraId="42852457" w14:textId="77777777" w:rsidTr="00AF0BBB">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552AC93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Data wpływu zapytań</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6575AD6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Pytania Wykonawców</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6E8A164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Odpowiedź  Zamawiającego</w:t>
            </w:r>
          </w:p>
        </w:tc>
      </w:tr>
      <w:tr w:rsidR="00AF0BBB" w:rsidRPr="00AF0BBB" w14:paraId="22E0C076" w14:textId="77777777" w:rsidTr="00AF0BBB">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FE5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br/>
              <w:t>17.10.2017r.</w:t>
            </w:r>
          </w:p>
          <w:p w14:paraId="2E5D163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90D5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Zwracamy się z prośbą o wydłużenie terminu złożenia oferty do 30.11.2017r.</w:t>
            </w:r>
          </w:p>
          <w:p w14:paraId="75F0F37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 uwagi na obszerny zakres przygotowania oferty dla wykonania prac</w:t>
            </w:r>
          </w:p>
          <w:p w14:paraId="37B996B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projektowych i budowlanych.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7CD0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wydłuża termin złożenia oferty do dnia 30.11.2017r.</w:t>
            </w:r>
          </w:p>
        </w:tc>
      </w:tr>
      <w:tr w:rsidR="00AF0BBB" w:rsidRPr="00AF0BBB" w14:paraId="0968E653" w14:textId="77777777" w:rsidTr="00AF0BBB">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4369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17.10.2017r.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E78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Proszę również o kontakt telefoniczny do osoby, która udzieli wszelkich niezbędnych informacji dot. ww. przetargu.</w:t>
            </w:r>
          </w:p>
          <w:p w14:paraId="799A2A7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B3E1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Informacje o sposobie porozumiewania się zamawiającego z wykonawcami oraz przekazywania oświadczeń lub dokumentów, a także wskazanie osób uprawnionych do porozumiewania się z wykonawcami wykazano w pkt 7 Instrukcji dla Wykonawców.</w:t>
            </w:r>
          </w:p>
        </w:tc>
      </w:tr>
      <w:tr w:rsidR="00AF0BBB" w:rsidRPr="00AF0BBB" w14:paraId="5DBF2F51" w14:textId="77777777" w:rsidTr="00AF0BB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8B0F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20.10.2017r.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9605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nawiązaniu do zapisów klauzuli 18.2 oraz 18.6 Warunków kontraktu, prosimy o usunięcie postanowień:</w:t>
            </w:r>
          </w:p>
          <w:p w14:paraId="3A41284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„będą także pokrywały straty, szkody i przywrócenie stanu początkowego powstałe wskutek błędów lub pominięć projektowych”</w:t>
            </w:r>
          </w:p>
          <w:p w14:paraId="70B2A9E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Oraz „Żadna polis ubezpieczeniowa przewidziana dla tego kontraktu nie może zawierać wyłączenia odpowiedzialności za straty, szkody lub przywrócenie stanu poprzedniego wskutek  błędów lub pominięć projektowych”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D87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p w14:paraId="1AC0490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pozostawia bez zmian wymagania dotyczące ubezpieczenia o którym mowa w klauzuli 18 aktu umowy - warunków kontraktowych dla Urządzeń oraz Projektowania i Budowy.</w:t>
            </w:r>
          </w:p>
        </w:tc>
      </w:tr>
      <w:tr w:rsidR="00AF0BBB" w:rsidRPr="00AF0BBB" w14:paraId="68B5A6F1" w14:textId="77777777" w:rsidTr="00AF0BBB">
        <w:trPr>
          <w:trHeight w:val="2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72E1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23.10.2017r.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FDEE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 uwagi na obszerny zakres prac projektowych budowlanych prosimy o</w:t>
            </w:r>
          </w:p>
          <w:p w14:paraId="391726C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możliwość wydłużenia terminu złożenia oferty do 30.11.2017r.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65DB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wydłuża termin złożenia oferty do dnia 30.11.2017r.</w:t>
            </w:r>
          </w:p>
        </w:tc>
      </w:tr>
      <w:tr w:rsidR="00AF0BBB" w:rsidRPr="00AF0BBB" w14:paraId="0F2CE5B6"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D2629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DEC8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posiada szczegółowe przedmiary dot. robót w zakresie budowy sieci      </w:t>
            </w:r>
            <w:proofErr w:type="spellStart"/>
            <w:r w:rsidRPr="00AF0BBB">
              <w:rPr>
                <w:rFonts w:ascii="Times New Roman" w:eastAsia="Times New Roman" w:hAnsi="Times New Roman" w:cs="Times New Roman"/>
                <w:color w:val="auto"/>
                <w:sz w:val="22"/>
                <w:szCs w:val="22"/>
              </w:rPr>
              <w:t>wod-kan</w:t>
            </w:r>
            <w:proofErr w:type="spellEnd"/>
            <w:r w:rsidRPr="00AF0BBB">
              <w:rPr>
                <w:rFonts w:ascii="Times New Roman" w:eastAsia="Times New Roman" w:hAnsi="Times New Roman" w:cs="Times New Roman"/>
                <w:color w:val="auto"/>
                <w:sz w:val="22"/>
                <w:szCs w:val="22"/>
              </w:rPr>
              <w:t xml:space="preserve"> oraz robót drogowych?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92DC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nie posiada szczegółowych przedmiarów. Przetarg określony jest w trybie „zaprojektuj i wybuduj”, w związku z czym brak jest szczegółowych przedmiarów.</w:t>
            </w:r>
          </w:p>
        </w:tc>
      </w:tr>
      <w:tr w:rsidR="00AF0BBB" w:rsidRPr="00AF0BBB" w14:paraId="0C9D33B5"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752B1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3F9F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Czy odtworzenie nawierzchni należy przyjąć dla pełnej szerokości jezdni, chodników, czy też tylko w pasie wykonania wykopów pod montaż kanałów i studni? Czy roboty drogowe występują poza zakresem prac budowy sieci </w:t>
            </w:r>
            <w:proofErr w:type="spellStart"/>
            <w:r w:rsidRPr="00AF0BBB">
              <w:rPr>
                <w:rFonts w:ascii="Times New Roman" w:eastAsia="Times New Roman" w:hAnsi="Times New Roman" w:cs="Times New Roman"/>
                <w:color w:val="auto"/>
                <w:sz w:val="22"/>
                <w:szCs w:val="22"/>
              </w:rPr>
              <w:t>wod-kan</w:t>
            </w:r>
            <w:proofErr w:type="spellEnd"/>
            <w:r w:rsidRPr="00AF0BBB">
              <w:rPr>
                <w:rFonts w:ascii="Times New Roman" w:eastAsia="Times New Roman" w:hAnsi="Times New Roman" w:cs="Times New Roman"/>
                <w:color w:val="auto"/>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A1B7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Zasady odtworzenia nawierzchni:</w:t>
            </w:r>
          </w:p>
          <w:p w14:paraId="1C1C01F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w drogach gminnych i powiatowych o nawierzchni bitumicznej odtwarzamy tylko na szerokości wykopów pod sieci (+ewentualne poszerzenie jezdni), w drogach gminnych dodatkowo robimy na całej szerokości nakładkę bitumiczną (warstwę ścieralną),</w:t>
            </w:r>
          </w:p>
          <w:p w14:paraId="7985207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w miejscowościach Przychowa i Dziewin na drogach o nawierzchni z kostki kamiennej odtwarzamy tylko na szerokości wykopów pod sieci,</w:t>
            </w:r>
          </w:p>
          <w:p w14:paraId="033AB7F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w drodze wojewódzkiej odtwarzamy całość,</w:t>
            </w:r>
          </w:p>
          <w:p w14:paraId="7EAF5C3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w drodze krajowej odtwarzamy nawierzchnię po komorach 3x3 m co 50 m,</w:t>
            </w:r>
          </w:p>
          <w:p w14:paraId="28715E4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w pozostałych drogach gminnych i powiatowych odtwarzamy nawierzchnię na całą szerokość</w:t>
            </w:r>
          </w:p>
          <w:p w14:paraId="203AD8D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Roboty drogowe występują poza zakresem prac budowy sieci </w:t>
            </w:r>
            <w:proofErr w:type="spellStart"/>
            <w:r w:rsidRPr="00AF0BBB">
              <w:rPr>
                <w:rFonts w:ascii="Times New Roman" w:eastAsia="Times New Roman" w:hAnsi="Times New Roman" w:cs="Times New Roman"/>
                <w:color w:val="auto"/>
                <w:sz w:val="22"/>
                <w:szCs w:val="22"/>
              </w:rPr>
              <w:t>wod</w:t>
            </w:r>
            <w:proofErr w:type="spellEnd"/>
            <w:r w:rsidRPr="00AF0BBB">
              <w:rPr>
                <w:rFonts w:ascii="Times New Roman" w:eastAsia="Times New Roman" w:hAnsi="Times New Roman" w:cs="Times New Roman"/>
                <w:color w:val="auto"/>
                <w:sz w:val="22"/>
                <w:szCs w:val="22"/>
              </w:rPr>
              <w:t>-kan. Zakres drogowy i zakres kanalizacji sanitarnej został przedstawiony na rysunkach, a także w tabeli Wykaz Cen I II (kolumna: „Długość drogi bez kanalizacji”).</w:t>
            </w:r>
          </w:p>
        </w:tc>
      </w:tr>
      <w:tr w:rsidR="00AF0BBB" w:rsidRPr="00AF0BBB" w14:paraId="6989F98D"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D54F7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56D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w udostępnionym przedmiarze ujęto odtworzenie nawierzchni dla robót elektroenergetycznych?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F63F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Odtworzenie nawierzchni dla robót elektroenergetycznych należy ująć w koszcie tych robót z wyjątkiem odcinków, </w:t>
            </w:r>
            <w:r w:rsidRPr="00AF0BBB">
              <w:rPr>
                <w:rFonts w:ascii="Times New Roman" w:eastAsia="Times New Roman" w:hAnsi="Times New Roman" w:cs="Times New Roman"/>
                <w:color w:val="auto"/>
                <w:sz w:val="22"/>
                <w:szCs w:val="22"/>
              </w:rPr>
              <w:lastRenderedPageBreak/>
              <w:t>gdzie zakres budowy oświetlenia pokrywa się z zakresem budowy chodników.</w:t>
            </w:r>
          </w:p>
        </w:tc>
      </w:tr>
      <w:tr w:rsidR="00AF0BBB" w:rsidRPr="00AF0BBB" w14:paraId="02FD4410"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790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82F1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dopuszcza, aby Wykonawca mógł się wykazać referencjami w zakresie budowy sieci kanalizacji sanitarnej i deszczowej?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3B1E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określił warunki udziału w postępowaniu i nie dopuszcza innych aniżeli spełnienia tych które określił w IDW.</w:t>
            </w:r>
          </w:p>
        </w:tc>
      </w:tr>
      <w:tr w:rsidR="00AF0BBB" w:rsidRPr="00AF0BBB" w14:paraId="284F1A08" w14:textId="77777777" w:rsidTr="00AF0BBB">
        <w:trPr>
          <w:trHeight w:val="2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8DC6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23.10.2017r.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D076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Czy miejscowości takie jak Redlice, </w:t>
            </w:r>
            <w:proofErr w:type="spellStart"/>
            <w:r w:rsidRPr="00AF0BBB">
              <w:rPr>
                <w:rFonts w:ascii="Times New Roman" w:eastAsia="Times New Roman" w:hAnsi="Times New Roman" w:cs="Times New Roman"/>
                <w:color w:val="auto"/>
                <w:sz w:val="22"/>
                <w:szCs w:val="22"/>
              </w:rPr>
              <w:t>Jurcz</w:t>
            </w:r>
            <w:proofErr w:type="spellEnd"/>
            <w:r w:rsidRPr="00AF0BBB">
              <w:rPr>
                <w:rFonts w:ascii="Times New Roman" w:eastAsia="Times New Roman" w:hAnsi="Times New Roman" w:cs="Times New Roman"/>
                <w:color w:val="auto"/>
                <w:sz w:val="22"/>
                <w:szCs w:val="22"/>
              </w:rPr>
              <w:t>, Grzybów ujęte w ramach</w:t>
            </w:r>
          </w:p>
          <w:p w14:paraId="063302E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aglomeracji na planie sytuacyjnym, a nieujęte w PFU są w zakresie</w:t>
            </w:r>
          </w:p>
          <w:p w14:paraId="6E02CF4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kontraktu?</w:t>
            </w:r>
          </w:p>
          <w:p w14:paraId="7CD79B1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553D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Nie miejscowości Redlice, </w:t>
            </w:r>
            <w:proofErr w:type="spellStart"/>
            <w:r w:rsidRPr="00AF0BBB">
              <w:rPr>
                <w:rFonts w:ascii="Times New Roman" w:eastAsia="Times New Roman" w:hAnsi="Times New Roman" w:cs="Times New Roman"/>
                <w:color w:val="auto"/>
                <w:sz w:val="22"/>
                <w:szCs w:val="22"/>
              </w:rPr>
              <w:t>Jurcz</w:t>
            </w:r>
            <w:proofErr w:type="spellEnd"/>
            <w:r w:rsidRPr="00AF0BBB">
              <w:rPr>
                <w:rFonts w:ascii="Times New Roman" w:eastAsia="Times New Roman" w:hAnsi="Times New Roman" w:cs="Times New Roman"/>
                <w:color w:val="auto"/>
                <w:sz w:val="22"/>
                <w:szCs w:val="22"/>
              </w:rPr>
              <w:t>, Grzybów nie są objęte Kontraktem, dlatego nie są ujęte w PFU.</w:t>
            </w:r>
          </w:p>
        </w:tc>
      </w:tr>
      <w:tr w:rsidR="00AF0BBB" w:rsidRPr="00AF0BBB" w14:paraId="73AED0B0"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A6692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D5C4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Które, z poniższych ilości sieci kanalizacyjnej przeznaczonych do budowy są objęte kontraktem :</w:t>
            </w:r>
          </w:p>
          <w:p w14:paraId="256AF37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72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 </w:t>
            </w:r>
            <w:r w:rsidRPr="00AF0BBB">
              <w:rPr>
                <w:rFonts w:ascii="Times New Roman" w:eastAsia="Times New Roman" w:hAnsi="Times New Roman" w:cs="Times New Roman"/>
                <w:b/>
                <w:bCs/>
                <w:color w:val="auto"/>
                <w:sz w:val="22"/>
                <w:szCs w:val="22"/>
              </w:rPr>
              <w:t>Program Funkcjonalno-Użytkowy</w:t>
            </w:r>
          </w:p>
          <w:tbl>
            <w:tblPr>
              <w:tblW w:w="0" w:type="auto"/>
              <w:tblCellMar>
                <w:top w:w="15" w:type="dxa"/>
                <w:left w:w="15" w:type="dxa"/>
                <w:bottom w:w="15" w:type="dxa"/>
                <w:right w:w="15" w:type="dxa"/>
              </w:tblCellMar>
              <w:tblLook w:val="04A0" w:firstRow="1" w:lastRow="0" w:firstColumn="1" w:lastColumn="0" w:noHBand="0" w:noVBand="1"/>
            </w:tblPr>
            <w:tblGrid>
              <w:gridCol w:w="1920"/>
              <w:gridCol w:w="1796"/>
              <w:gridCol w:w="3297"/>
            </w:tblGrid>
            <w:tr w:rsidR="00AF0BBB" w:rsidRPr="00AF0BBB" w14:paraId="5E816B5A" w14:textId="77777777" w:rsidTr="00AF0BBB">
              <w:trPr>
                <w:trHeight w:val="26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0B72C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p>
                <w:p w14:paraId="393E0B0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Miejscowość</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39551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Orientacyjna długość sieci projektowanej w [km]</w:t>
                  </w:r>
                </w:p>
              </w:tc>
            </w:tr>
            <w:tr w:rsidR="00AF0BBB" w:rsidRPr="00AF0BBB" w14:paraId="1CA9EB01" w14:textId="77777777" w:rsidTr="00AF0BBB">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00576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5DFF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W Aglomeracji do wykonania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0EB10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Poza Aglomeracją do wykonania w ramach opcji do wyboru przez Zamawiającego</w:t>
                  </w:r>
                </w:p>
              </w:tc>
            </w:tr>
            <w:tr w:rsidR="00AF0BBB" w:rsidRPr="00AF0BBB" w14:paraId="4C480141" w14:textId="77777777" w:rsidTr="00AF0BBB">
              <w:trPr>
                <w:trHeight w:val="2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A9453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WIELOWIEŚ</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0AC7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6,274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7428A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5CF6AFDB"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65071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ZABORÓW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CE979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4,847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9B1E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0,238</w:t>
                  </w:r>
                </w:p>
              </w:tc>
            </w:tr>
            <w:tr w:rsidR="00AF0BBB" w:rsidRPr="00AF0BBB" w14:paraId="2A0163F7"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C5447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PARSZOWICE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E0764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8,227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55A2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0,449</w:t>
                  </w:r>
                </w:p>
              </w:tc>
            </w:tr>
            <w:tr w:rsidR="00AF0BBB" w:rsidRPr="00AF0BBB" w14:paraId="39A8E706"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64B8B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SITNO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0E66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2,884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8B5E2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120763FE"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B3A2A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RĘSZÓW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72BEF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6,484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15310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5E181880" w14:textId="77777777" w:rsidTr="00AF0BBB">
              <w:trPr>
                <w:trHeight w:val="2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3B77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KRZYŻOWA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1AF1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4,719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D7BA6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7C9EDDE8"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70E11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DŁUŻYCE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77C2C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5,060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778E6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0,253</w:t>
                  </w:r>
                </w:p>
              </w:tc>
            </w:tr>
            <w:tr w:rsidR="00AF0BBB" w:rsidRPr="00AF0BBB" w14:paraId="0BCFDCD0"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3FAF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DZIEWIN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B01F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3,639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BB845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0824F77B"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56D2A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TURÓW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DD431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3,989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648A9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0,206</w:t>
                  </w:r>
                </w:p>
              </w:tc>
            </w:tr>
            <w:tr w:rsidR="00AF0BBB" w:rsidRPr="00AF0BBB" w14:paraId="70F5D161"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6E78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DĄBROWA DOLNA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5BEDB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2,754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BB8BF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6E823A73" w14:textId="77777777" w:rsidTr="00AF0BBB">
              <w:trPr>
                <w:trHeight w:val="2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6E753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DĄBROWA ŚRODKOWA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94A0D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0,896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C3A3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0,275</w:t>
                  </w:r>
                </w:p>
              </w:tc>
            </w:tr>
            <w:tr w:rsidR="00AF0BBB" w:rsidRPr="00AF0BBB" w14:paraId="4A26B50F"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09524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DZIESŁAW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A5407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4,234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A7A9B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1,719</w:t>
                  </w:r>
                </w:p>
              </w:tc>
            </w:tr>
            <w:tr w:rsidR="00AF0BBB" w:rsidRPr="00AF0BBB" w14:paraId="59C1889C"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FCE9A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BUSZKOWICE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9C600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4,378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1D5E9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0D9B4496"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A2C1C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PRZYCHOWA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EFF75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5,048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F0593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10DCDEFF" w14:textId="77777777" w:rsidTr="00AF0BBB">
              <w:trPr>
                <w:trHeight w:val="28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A2EB6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RAZEM</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2DE87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63,433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3C2ED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3,140</w:t>
                  </w:r>
                </w:p>
              </w:tc>
            </w:tr>
          </w:tbl>
          <w:p w14:paraId="046392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p w14:paraId="7AFE35C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708" w:hanging="1"/>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 Plik EXCEL WYKAZ CEN</w:t>
            </w:r>
          </w:p>
          <w:tbl>
            <w:tblPr>
              <w:tblW w:w="0" w:type="auto"/>
              <w:tblCellMar>
                <w:top w:w="15" w:type="dxa"/>
                <w:left w:w="15" w:type="dxa"/>
                <w:bottom w:w="15" w:type="dxa"/>
                <w:right w:w="15" w:type="dxa"/>
              </w:tblCellMar>
              <w:tblLook w:val="04A0" w:firstRow="1" w:lastRow="0" w:firstColumn="1" w:lastColumn="0" w:noHBand="0" w:noVBand="1"/>
            </w:tblPr>
            <w:tblGrid>
              <w:gridCol w:w="1920"/>
              <w:gridCol w:w="1796"/>
              <w:gridCol w:w="3297"/>
            </w:tblGrid>
            <w:tr w:rsidR="00AF0BBB" w:rsidRPr="00AF0BBB" w14:paraId="67EEF88F" w14:textId="77777777" w:rsidTr="00AF0BBB">
              <w:trPr>
                <w:trHeight w:val="24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632CE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p>
                <w:p w14:paraId="48BF5B2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Miejscowość</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181BC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Orientacyjna długość sieci projektowanej w [km]</w:t>
                  </w:r>
                </w:p>
              </w:tc>
            </w:tr>
            <w:tr w:rsidR="00AF0BBB" w:rsidRPr="00AF0BBB" w14:paraId="6DDE235B" w14:textId="77777777" w:rsidTr="00AF0BBB">
              <w:trPr>
                <w:trHeight w:val="7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C2809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CA16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W Aglomeracji do wykonania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59109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Poza Aglomeracją do wykonania w ramach opcji do wyboru przez Zamawiającego</w:t>
                  </w:r>
                </w:p>
              </w:tc>
            </w:tr>
            <w:tr w:rsidR="00AF0BBB" w:rsidRPr="00AF0BBB" w14:paraId="788C850E"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F443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WIELOWIEŚ</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E9741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3,886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18269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56FE1776"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9580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ZABORÓW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120A2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2,954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1D958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0,085</w:t>
                  </w:r>
                </w:p>
              </w:tc>
            </w:tr>
            <w:tr w:rsidR="00AF0BBB" w:rsidRPr="00AF0BBB" w14:paraId="47B98A44"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D6E54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PARSZOWICE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26C5B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5,678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BA6C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0,389</w:t>
                  </w:r>
                </w:p>
              </w:tc>
            </w:tr>
            <w:tr w:rsidR="00AF0BBB" w:rsidRPr="00AF0BBB" w14:paraId="6005288B"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A1D1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SITNO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B7CD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1,229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FEF8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731793A5"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F14B2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RĘSZÓW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DD6EF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2,553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F6B20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7FCA5EF8"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88257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KRZYŻOWA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1312B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2,994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C0C17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720411EA"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AA5C8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DŁUŻYCE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ABD05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2,119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64E07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0,229</w:t>
                  </w:r>
                </w:p>
              </w:tc>
            </w:tr>
            <w:tr w:rsidR="00AF0BBB" w:rsidRPr="00AF0BBB" w14:paraId="6ED4D26A"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30324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DZIEWIN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0663D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2,854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317EA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09F12508"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990F2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TURÓW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E886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1,713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88ECC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0,194</w:t>
                  </w:r>
                </w:p>
              </w:tc>
            </w:tr>
            <w:tr w:rsidR="00AF0BBB" w:rsidRPr="00AF0BBB" w14:paraId="02A7F8B3"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264BF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DĄBROWA DOLNA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3E2FE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1,297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C1A37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39126F3E"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FCABE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DĄBROWA ŚRODKOWA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5C156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0,620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AD5E9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0,239</w:t>
                  </w:r>
                </w:p>
              </w:tc>
            </w:tr>
            <w:tr w:rsidR="00AF0BBB" w:rsidRPr="00AF0BBB" w14:paraId="43122EC2"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4273C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DZIESŁAW</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002A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3,826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53132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1,580</w:t>
                  </w:r>
                </w:p>
              </w:tc>
            </w:tr>
            <w:tr w:rsidR="00AF0BBB" w:rsidRPr="00AF0BBB" w14:paraId="786A1617"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98AAC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BUSZKOWICE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DCA07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2,509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05891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4AF7D15C" w14:textId="77777777" w:rsidTr="00AF0BBB">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DE7A8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PRZYCHOWA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0F3E6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3,013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DA839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369060E9" w14:textId="77777777" w:rsidTr="00AF0BBB">
              <w:trPr>
                <w:trHeight w:val="2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27A08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RAZEM</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45EFF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37,248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130AC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center"/>
                    <w:rPr>
                      <w:rFonts w:ascii="Times New Roman" w:eastAsia="Times New Roman" w:hAnsi="Times New Roman" w:cs="Times New Roman"/>
                      <w:color w:val="auto"/>
                      <w:sz w:val="24"/>
                      <w:szCs w:val="24"/>
                    </w:rPr>
                  </w:pPr>
                  <w:r w:rsidRPr="00AF0BBB">
                    <w:rPr>
                      <w:rFonts w:ascii="Times New Roman" w:eastAsia="Times New Roman" w:hAnsi="Times New Roman" w:cs="Times New Roman"/>
                      <w:b/>
                      <w:bCs/>
                      <w:color w:val="auto"/>
                      <w:sz w:val="22"/>
                      <w:szCs w:val="22"/>
                    </w:rPr>
                    <w:t>2,716</w:t>
                  </w:r>
                </w:p>
              </w:tc>
            </w:tr>
          </w:tbl>
          <w:p w14:paraId="5BE2997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66DB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shd w:val="clear" w:color="auto" w:fill="FFFFFF"/>
              </w:rPr>
              <w:lastRenderedPageBreak/>
              <w:t xml:space="preserve">Tabela z PFU w punkcie 2.1.1. jest prawidłowa i jest wynikiem sumowania poszczególnych kanałów( grawitacyjnych i tłocznych) z pliku Wykaz Cen I </w:t>
            </w:r>
            <w:proofErr w:type="spellStart"/>
            <w:r w:rsidRPr="00AF0BBB">
              <w:rPr>
                <w:rFonts w:ascii="Times New Roman" w:eastAsia="Times New Roman" w:hAnsi="Times New Roman" w:cs="Times New Roman"/>
                <w:color w:val="auto"/>
                <w:sz w:val="22"/>
                <w:szCs w:val="22"/>
                <w:shd w:val="clear" w:color="auto" w:fill="FFFFFF"/>
              </w:rPr>
              <w:t>i</w:t>
            </w:r>
            <w:proofErr w:type="spellEnd"/>
            <w:r w:rsidRPr="00AF0BBB">
              <w:rPr>
                <w:rFonts w:ascii="Times New Roman" w:eastAsia="Times New Roman" w:hAnsi="Times New Roman" w:cs="Times New Roman"/>
                <w:color w:val="auto"/>
                <w:sz w:val="22"/>
                <w:szCs w:val="22"/>
                <w:shd w:val="clear" w:color="auto" w:fill="FFFFFF"/>
              </w:rPr>
              <w:t xml:space="preserve"> II. Długości zamieszczone w tabelach są orientacyjne, a ostateczna długość zostanie ustalona w trakcie wykonywania projektu budowlanego przez Wykonawcę przy czym należy pamiętać o zachowaniu wskaźnika koncentracji dla aglomeracji.</w:t>
            </w:r>
          </w:p>
          <w:p w14:paraId="204C704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p w14:paraId="2F7D443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shd w:val="clear" w:color="auto" w:fill="FFFFFF"/>
              </w:rPr>
              <w:t xml:space="preserve">Wyniki Wykonawcy zestawione w tabeli Wykaz Cen w pytaniu  nie odpowiadają wartości z sumowania odpowiednich wartości z pliku Wykaz Cen. </w:t>
            </w:r>
          </w:p>
        </w:tc>
      </w:tr>
      <w:tr w:rsidR="00AF0BBB" w:rsidRPr="00AF0BBB" w14:paraId="13DC2B8B"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88E08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B81B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Jaki zakres robót należy wycenić w pozycji wykazu cen „Rowy przydrożne”?</w:t>
            </w:r>
          </w:p>
          <w:p w14:paraId="544C83C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74C0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Zgodnie z instrukcją czytania i wypełniania Wykazu Cen I </w:t>
            </w:r>
            <w:proofErr w:type="spellStart"/>
            <w:r w:rsidRPr="00AF0BBB">
              <w:rPr>
                <w:rFonts w:ascii="Times New Roman" w:eastAsia="Times New Roman" w:hAnsi="Times New Roman" w:cs="Times New Roman"/>
                <w:color w:val="auto"/>
                <w:sz w:val="22"/>
                <w:szCs w:val="22"/>
              </w:rPr>
              <w:t>i</w:t>
            </w:r>
            <w:proofErr w:type="spellEnd"/>
            <w:r w:rsidRPr="00AF0BBB">
              <w:rPr>
                <w:rFonts w:ascii="Times New Roman" w:eastAsia="Times New Roman" w:hAnsi="Times New Roman" w:cs="Times New Roman"/>
                <w:color w:val="auto"/>
                <w:sz w:val="22"/>
                <w:szCs w:val="22"/>
              </w:rPr>
              <w:t xml:space="preserve"> II  kalkulując cenę jednostkową należy uwzględnić “czyszczenie rowów z wyprofilowaniem dna i skarp, grubość namułu 10 cm” (pkt 4, </w:t>
            </w:r>
            <w:proofErr w:type="spellStart"/>
            <w:r w:rsidRPr="00AF0BBB">
              <w:rPr>
                <w:rFonts w:ascii="Times New Roman" w:eastAsia="Times New Roman" w:hAnsi="Times New Roman" w:cs="Times New Roman"/>
                <w:color w:val="auto"/>
                <w:sz w:val="22"/>
                <w:szCs w:val="22"/>
              </w:rPr>
              <w:t>ppkt</w:t>
            </w:r>
            <w:proofErr w:type="spellEnd"/>
            <w:r w:rsidRPr="00AF0BBB">
              <w:rPr>
                <w:rFonts w:ascii="Times New Roman" w:eastAsia="Times New Roman" w:hAnsi="Times New Roman" w:cs="Times New Roman"/>
                <w:color w:val="auto"/>
                <w:sz w:val="22"/>
                <w:szCs w:val="22"/>
              </w:rPr>
              <w:t>. P Instrukcji).</w:t>
            </w:r>
          </w:p>
        </w:tc>
      </w:tr>
      <w:tr w:rsidR="00AF0BBB" w:rsidRPr="00AF0BBB" w14:paraId="3AE12D8B" w14:textId="77777777" w:rsidTr="00AF0BBB">
        <w:trPr>
          <w:trHeight w:val="15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7F312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DDE8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Proszę o podanie orientacyjnej odległości na jaką będzie trzeba odwozić gruz z rozbiórki ?</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F9F3C8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wskaże miejsce składowania kostki kamiennej brukowej pochodzącej z rozbiórki. Odległość nie większa niż 7 km.</w:t>
            </w:r>
          </w:p>
        </w:tc>
      </w:tr>
      <w:tr w:rsidR="00AF0BBB" w:rsidRPr="00AF0BBB" w14:paraId="140694E7"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9CF55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F7BEF0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wszystkie przepusty pod zjazdami będą wykonane z rur o średnicy 40 cm?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EC2A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Tak, wstępnie przyjęto wbudowanie</w:t>
            </w:r>
          </w:p>
          <w:p w14:paraId="0FCD6C8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przepustów o średnicy 40 cm. Na etapie</w:t>
            </w:r>
          </w:p>
          <w:p w14:paraId="56C999A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opracowywania projektu należy dokonać</w:t>
            </w:r>
          </w:p>
          <w:p w14:paraId="0F17E23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weryfikacji przyjętej średnicy (operat</w:t>
            </w:r>
          </w:p>
          <w:p w14:paraId="224D8C2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wodnoprawny).</w:t>
            </w:r>
          </w:p>
        </w:tc>
      </w:tr>
      <w:tr w:rsidR="00AF0BBB" w:rsidRPr="00AF0BBB" w14:paraId="6FDE7247" w14:textId="77777777" w:rsidTr="00AF0BBB">
        <w:trPr>
          <w:trHeight w:val="2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B288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49D946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SIWZ CZĘŚĆ I- IDW pkt. 15 ust. 2 oraz w Załączniku do oferty Zamawiający ustalił zabezpieczenie należytego wykonania umowy w wysokości 10% ceny całkowitej podanej w ofercie a w obu wzorach umów stanowiących załączniki do IDW Zamawiający wskazał wysokość zabezpieczenia w wysokości 5% ceny brutto robót budowlanych. Z uwagi na duży zakres i długi termin realizacji Przedmiotu umowy prosimy o potwierdzenie, że Zamawiający wymaga wniesienia zabezpieczenia należytego wykonania umowy w wysokości 5% wartości brutto robót objętych zakresem podstawowym?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2644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Dla zamówienia podstawowego wysokość zabezpieczenia należytego wykonania Kontraktu została określona w załączniku do Oferty  - dokument stanowiący integralną część Oferty i wynosi ono 10%, co jest zgodne z IDW.</w:t>
            </w:r>
          </w:p>
        </w:tc>
      </w:tr>
      <w:tr w:rsidR="00AF0BBB" w:rsidRPr="00AF0BBB" w14:paraId="6E4FE41D"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D2F04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E5794C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 Warunkach szczególnych klauzula 4.2 Zabezpieczenie wykonania wskazuje na obowiązek wniesienia  w dniu podpisania umowy gwarancji należytego wykonania umowy w wysokości zgodnej z dokumentem Załącznik do oferty tj. 100% zabezpieczenia należytego wykonania zgodne z wymaganiami Zamawiającego przed podpisaniem Kontraktu, w formie określonej w Formularzu Oferty.</w:t>
            </w:r>
          </w:p>
          <w:p w14:paraId="50F4563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związku z powyższym prosimy o wyjaśnienie:</w:t>
            </w:r>
          </w:p>
          <w:p w14:paraId="489D2CD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formularzu oferty brak jest deklaracji dot. formy złożenia</w:t>
            </w:r>
          </w:p>
          <w:p w14:paraId="50CEF7C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zabezpieczenia. Jednocześnie zwracamy uwagę, ze wskazywanie tylko i</w:t>
            </w:r>
          </w:p>
          <w:p w14:paraId="2F051AF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wyłącznie jednej formy zabezpieczenia już na poziomie oferty jest</w:t>
            </w:r>
          </w:p>
          <w:p w14:paraId="71E81EA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niezgodne z intencją ustawodawcy określoną w par. art.148 i art. 149 i art.</w:t>
            </w:r>
          </w:p>
          <w:p w14:paraId="70EC5A2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 xml:space="preserve">150 ustawy </w:t>
            </w:r>
            <w:proofErr w:type="spellStart"/>
            <w:r w:rsidRPr="00AF0BBB">
              <w:rPr>
                <w:rFonts w:ascii="Times New Roman" w:eastAsia="Times New Roman" w:hAnsi="Times New Roman" w:cs="Times New Roman"/>
                <w:color w:val="auto"/>
                <w:sz w:val="22"/>
                <w:szCs w:val="22"/>
              </w:rPr>
              <w:t>Pzp</w:t>
            </w:r>
            <w:proofErr w:type="spellEnd"/>
            <w:r w:rsidRPr="00AF0BBB">
              <w:rPr>
                <w:rFonts w:ascii="Times New Roman" w:eastAsia="Times New Roman" w:hAnsi="Times New Roman" w:cs="Times New Roman"/>
                <w:color w:val="auto"/>
                <w:sz w:val="22"/>
                <w:szCs w:val="22"/>
              </w:rPr>
              <w:t>.</w:t>
            </w:r>
          </w:p>
          <w:p w14:paraId="364BB5F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Jednocześnie z uwagi na powyższe oraz długi okres realizacji i okres</w:t>
            </w:r>
          </w:p>
          <w:p w14:paraId="119124F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gwarancyjny (wynoszący 36-60 miesięcy), co bezpośrednio wpływa na</w:t>
            </w:r>
          </w:p>
          <w:p w14:paraId="0844F0B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długość okresu na który musi zostać wniesione zabezpieczenie, zwracamy</w:t>
            </w:r>
          </w:p>
          <w:p w14:paraId="57D2E75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się z prośbą w związku z art. 150 ust.3 o wyrażenie zgody na wniesienie w</w:t>
            </w:r>
          </w:p>
          <w:p w14:paraId="5102703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dniu podpisania umowy co najmniej 30% zabezpieczenia, zgodnie  z art.</w:t>
            </w:r>
          </w:p>
          <w:p w14:paraId="6597C5D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150. ust.4 np. w formie gwarancji ubezpieczeniowej oraz wyrażenie zgody</w:t>
            </w:r>
          </w:p>
          <w:p w14:paraId="0A8ED85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na  tworzenie zabezpieczenia poprzez potrącenia z należności za częściowo</w:t>
            </w:r>
          </w:p>
          <w:p w14:paraId="250DB99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wykonane usługi i roboty budowlane z uwzględnieniem art.150. ust.6</w:t>
            </w:r>
          </w:p>
          <w:p w14:paraId="1A960D6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ustawy.</w:t>
            </w:r>
          </w:p>
          <w:p w14:paraId="098E0F8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Takie rozwiązanie,  z pewnością przyczyniłoby się do powiększenia kręgu</w:t>
            </w:r>
          </w:p>
          <w:p w14:paraId="29F75ED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potencjalnych Wykonawców, którzy poprzez zastosowanie takiego</w:t>
            </w:r>
          </w:p>
          <w:p w14:paraId="11FEA7B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mechanizmu zabezpieczenia wykonania, będą w stanie łatwiej pozyskać</w:t>
            </w:r>
          </w:p>
          <w:p w14:paraId="7175CFA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wymagane gwarancje od gwarantów.</w:t>
            </w:r>
          </w:p>
          <w:p w14:paraId="4FAB48C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2D1E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Zamawiający wymaga wniesienia 100 %</w:t>
            </w:r>
          </w:p>
          <w:p w14:paraId="620C6BA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zabezpieczenia należytego wykonania</w:t>
            </w:r>
          </w:p>
          <w:p w14:paraId="118BD25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umowy w dniu podpisania umowy. </w:t>
            </w:r>
          </w:p>
          <w:p w14:paraId="3C11558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Formy wniesienia zabezpieczenia</w:t>
            </w:r>
          </w:p>
          <w:p w14:paraId="000B1AE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należytego wykonania umowy określa </w:t>
            </w:r>
            <w:proofErr w:type="spellStart"/>
            <w:r w:rsidRPr="00AF0BBB">
              <w:rPr>
                <w:rFonts w:ascii="Times New Roman" w:eastAsia="Times New Roman" w:hAnsi="Times New Roman" w:cs="Times New Roman"/>
                <w:color w:val="auto"/>
                <w:sz w:val="22"/>
                <w:szCs w:val="22"/>
              </w:rPr>
              <w:t>pk</w:t>
            </w:r>
            <w:proofErr w:type="spellEnd"/>
            <w:r w:rsidRPr="00AF0BBB">
              <w:rPr>
                <w:rFonts w:ascii="Times New Roman" w:eastAsia="Times New Roman" w:hAnsi="Times New Roman" w:cs="Times New Roman"/>
                <w:color w:val="auto"/>
                <w:sz w:val="22"/>
                <w:szCs w:val="22"/>
              </w:rPr>
              <w:t>.</w:t>
            </w:r>
          </w:p>
          <w:p w14:paraId="4513B0E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15 ust.4 Części I - Instrukcja dla</w:t>
            </w:r>
          </w:p>
          <w:p w14:paraId="1F75CB4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Wykonawców.</w:t>
            </w:r>
          </w:p>
          <w:p w14:paraId="05056A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 żaden sposób nie</w:t>
            </w:r>
          </w:p>
          <w:p w14:paraId="3BDFBAF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ogranicza form wniesie zabezpieczenia</w:t>
            </w:r>
          </w:p>
          <w:p w14:paraId="1113F31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należytego wykonania umowy.</w:t>
            </w:r>
          </w:p>
          <w:p w14:paraId="45627C8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Zmodyfikowano odpowiednio zapis w Akcie Umowy.</w:t>
            </w:r>
          </w:p>
        </w:tc>
      </w:tr>
      <w:tr w:rsidR="00AF0BBB" w:rsidRPr="00AF0BBB" w14:paraId="38A2B950"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EF18A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491C31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Zamawiający w SIWZ Część II.3 Warunki Szczególne  w pkt. 14.6. wskazał procentowy udział dokumentacji projektowej wraz z uzyskaniem pozwolenia na budowę w ZKK wynoszący 2%. Z wieloletniej praktyki wykonawcy wynika, że procent ustalony przez Zamawiającego jest nieadekwatny w stosunku do obecnie trwającej sytuacji na rynku zamówień. W związku z powyższym oraz z uwagi na długi czas na pozyskanie uwarunkowań i uzgodnień w czasie projektowania zakończonego uzyskaniem pozwolenia na budowę, czy też brak możliwości fakturowania częściowego tego zakresu, prosimy o rozważenie przez Zamawiającego zwiększenia wartości procentowej dokumentacji projektowej do poziomu 6%. Zwiększenie przez Zamawiającego udziału procentowego wpłynie ponadto na proporcjonalne rozłożenie minimalnych kwot wymaganych PŚP, wpływając tym samym na zdolności finansowania, co z kolei z pewnością poszerzy krąg Wykonawców zainteresowanych przedmiotowym zamówieniem.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53B7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zmienia procentowy udział dokumentacji projektowej wraz z uzyskaniem pozwolenia na budowę w ZKK i zwiększa do poziomu 3,5 %.</w:t>
            </w:r>
          </w:p>
          <w:p w14:paraId="18F636D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Zmiana została wprowadzona do WSK i zamieszczona wraz z odpowiedziami na stronie internetowej.</w:t>
            </w:r>
          </w:p>
        </w:tc>
      </w:tr>
      <w:tr w:rsidR="00AF0BBB" w:rsidRPr="00AF0BBB" w14:paraId="3C86AA30" w14:textId="77777777" w:rsidTr="00AF0BBB">
        <w:trPr>
          <w:trHeight w:val="2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BF86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25.10.2017r.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166103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nawiązaniu do § 1 pkt. 3 wzoru umowy Część II - roboty budowlane KS - oświetlenie - wykup wierzytelności, zwracamy się z prośbą o wyjaśnienie skąd data 31.12.2023 skoro w SIWZ jest mowa o finansowaniu inwestycji i jej spłacie do roku 2026r.;</w:t>
            </w:r>
          </w:p>
          <w:p w14:paraId="0388E4A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97A6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dostosowuje wzór umowy</w:t>
            </w:r>
          </w:p>
          <w:p w14:paraId="27993B5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do prawidłowej daty tj. 31.12.2026r. </w:t>
            </w:r>
          </w:p>
        </w:tc>
      </w:tr>
      <w:tr w:rsidR="00AF0BBB" w:rsidRPr="00AF0BBB" w14:paraId="31820BFD"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3BB9A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F4DD05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nawiązaniu do § 13 pkt. 1 wzoru umowy Część II - roboty budowlane KS - oświetlenie - wykup wierzytelności zwracamy się z prośbą o wyjaśnienie cyt. „ …. Wykonawca przekaże Zamawiającemu w dniu odbioru końcowego wszelkie dokumenty gwarancyjne na zamontowane materiały i urządzenia, wystawione przez ich producentów. Czy to wymaganie dotyczy również dostawców?</w:t>
            </w:r>
          </w:p>
          <w:p w14:paraId="573EC54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2A0D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Celem przedmiotowego zapisu jest uzyskanie przez Zamawiającego dokumentów gwarancji na konkretne materiału lub urządzenia. Jeżeli dokument taki wystawia nie producent lecz dostawca, to Zamawiający oczekiwał będzie dostarczenia dokumentu gwarancyjnego wystawionej przez dostawcę.</w:t>
            </w:r>
          </w:p>
        </w:tc>
      </w:tr>
      <w:tr w:rsidR="00AF0BBB" w:rsidRPr="00AF0BBB" w14:paraId="4576970C"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12AA3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81A1BB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 nawiązaniu do § 16 pkt. 5 wzoru umowy Część II - roboty budowlane KS - oświetlenie - wykup wierzytelności, zwracamy się z prośbą o zmianę zapisów, gdyż treść przywołanego punktu nie odpowiada i jest niezgodna z zapisami </w:t>
            </w:r>
            <w:proofErr w:type="spellStart"/>
            <w:r w:rsidRPr="00AF0BBB">
              <w:rPr>
                <w:rFonts w:ascii="Times New Roman" w:eastAsia="Times New Roman" w:hAnsi="Times New Roman" w:cs="Times New Roman"/>
                <w:color w:val="auto"/>
                <w:sz w:val="22"/>
                <w:szCs w:val="22"/>
              </w:rPr>
              <w:t>Pzp</w:t>
            </w:r>
            <w:proofErr w:type="spellEnd"/>
            <w:r w:rsidRPr="00AF0BBB">
              <w:rPr>
                <w:rFonts w:ascii="Times New Roman" w:eastAsia="Times New Roman" w:hAnsi="Times New Roman" w:cs="Times New Roman"/>
                <w:color w:val="auto"/>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5F36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wykreśla z umowy § 16 pkt. 5.</w:t>
            </w:r>
          </w:p>
        </w:tc>
      </w:tr>
      <w:tr w:rsidR="00AF0BBB" w:rsidRPr="00AF0BBB" w14:paraId="746FE9CF" w14:textId="77777777" w:rsidTr="00AF0BBB">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8D73C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A9FCA5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Zwracamy się z prośbą o przesunięcie terminu składania ofert w</w:t>
            </w:r>
          </w:p>
          <w:p w14:paraId="3F229A9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przedmiotowym postępowaniu. Ze względu na złożoność przedmiotu</w:t>
            </w:r>
          </w:p>
          <w:p w14:paraId="2D90652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zamówienia, krótki czas na złożenie oferty sprawia, że przygotowanie</w:t>
            </w:r>
          </w:p>
          <w:p w14:paraId="1786212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poprawnej merytorycznie, wyczerpującej i zgodnej z Państwa</w:t>
            </w:r>
          </w:p>
          <w:p w14:paraId="0FB38D2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oczekiwaniami staje się niezwykle trudne. Wydłużenie tego okresu</w:t>
            </w:r>
          </w:p>
          <w:p w14:paraId="763B91F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pozwoli nam na skompletowanie odpowiedniej dokumentacji oraz na</w:t>
            </w:r>
          </w:p>
          <w:p w14:paraId="665ADD4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przygotowanie treści oferty, tak by nie budziła ona wątpliwości</w:t>
            </w:r>
          </w:p>
          <w:p w14:paraId="46E71FF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Zamawiającego. Dlatego prosimy o zmianę terminu składania ofert o</w:t>
            </w:r>
          </w:p>
          <w:p w14:paraId="2BC3262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co najmniej 7 dni.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B2F3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wydłuża termin złożenia oferty do dnia 30.11.2017r</w:t>
            </w:r>
          </w:p>
        </w:tc>
      </w:tr>
      <w:tr w:rsidR="00AF0BBB" w:rsidRPr="00AF0BBB" w14:paraId="4A579B9A" w14:textId="77777777" w:rsidTr="00AF0BB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9A25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26.10.2017r.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384912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0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Prosimy o podanie uzupełnienie wykazu cen o pozycję Warstwa ścieralna – gr 4 cm. mimo iż projektowane odtworzenia obejmują nawierzchnie bitumiczne oraz warstwy wiążące, brak w/w pozycji dla miejscowości Buszkowice; Krzyżowa; Turów – DG  82/1; Wielowieś;</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0966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tych miejscowościach wykonanie warstwy ścieralnej jest w części kosztów niekwalifikowalnych i obejmuje całą szerokość jezdni.</w:t>
            </w:r>
          </w:p>
        </w:tc>
      </w:tr>
      <w:tr w:rsidR="00AF0BBB" w:rsidRPr="00AF0BBB" w14:paraId="6071A1F0" w14:textId="77777777" w:rsidTr="00AF0BB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9523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lastRenderedPageBreak/>
              <w:t>27.10.2017r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0D3D7B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Rozbieżności w ilościach linii kablowych oraz ilości opraw:</w:t>
            </w:r>
          </w:p>
          <w:p w14:paraId="5A06F86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Tabela "Wykaz cen oświetlenie drogowe":</w:t>
            </w:r>
          </w:p>
          <w:p w14:paraId="58750D8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Linia kablowa: 28.385[m], Lampy: 819 [szt.] = [26+77(84W) + 187+529 (31W)]</w:t>
            </w:r>
          </w:p>
          <w:p w14:paraId="1D9474C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Natomiast z PFU i Specyfikacji materiałowej wynikają inne ilości:</w:t>
            </w:r>
          </w:p>
          <w:p w14:paraId="6351628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(obejmują dodatkowo miejscowości: Chełmek Wołowski, Dębiec, Grzybów, </w:t>
            </w:r>
            <w:proofErr w:type="spellStart"/>
            <w:r w:rsidRPr="00AF0BBB">
              <w:rPr>
                <w:rFonts w:ascii="Times New Roman" w:eastAsia="Times New Roman" w:hAnsi="Times New Roman" w:cs="Times New Roman"/>
                <w:color w:val="auto"/>
                <w:sz w:val="22"/>
                <w:szCs w:val="22"/>
              </w:rPr>
              <w:t>Jurcz</w:t>
            </w:r>
            <w:proofErr w:type="spellEnd"/>
            <w:r w:rsidRPr="00AF0BBB">
              <w:rPr>
                <w:rFonts w:ascii="Times New Roman" w:eastAsia="Times New Roman" w:hAnsi="Times New Roman" w:cs="Times New Roman"/>
                <w:color w:val="auto"/>
                <w:sz w:val="22"/>
                <w:szCs w:val="22"/>
              </w:rPr>
              <w:t>, Lasowice, Redlice, Tymowa) - Zestawienie "PFU":</w:t>
            </w:r>
          </w:p>
          <w:p w14:paraId="443E3D5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Linia kablowa: 46.360[m], Lampy:1.449 [szt.] =[26+128 (84W) + 471 + 824 (31W)]</w:t>
            </w:r>
          </w:p>
          <w:p w14:paraId="22C34FE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Tabela: "Szczegółowa Specyfikacja Materiałowa":</w:t>
            </w:r>
          </w:p>
          <w:p w14:paraId="39DE087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Linia kablowa:44.660[m], Lampy:1.277[szt.]</w:t>
            </w:r>
          </w:p>
          <w:p w14:paraId="15F7C77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informację, które ilości należy przyjąć do wyceny?</w:t>
            </w:r>
          </w:p>
          <w:p w14:paraId="5DAC4B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FA96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Wykaz cen oświetlenia drogowego zawiera właściwe ilości opraw i linii kablowych. PFU zawiera szerszy zakres, w tym sieci w miejscowościach nie objętych postępowaniem.</w:t>
            </w:r>
          </w:p>
        </w:tc>
      </w:tr>
      <w:tr w:rsidR="00AF0BBB" w:rsidRPr="00AF0BBB" w14:paraId="57585070" w14:textId="77777777" w:rsidTr="00AF0BBB">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E5AC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27.10.2017r.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8CCDE3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Wykaz Cen. Prosimy o weryfikację ilości warstwy ścieralnej (kolumna k) w zakładkach: Buszkowice, Krzyżowa i Wielowieś. Naszym zdaniem wprowadzona formuła zawiera błąd, ilość warstwy ścieralnej powinna być równa ilości warstwy wiążącej.</w:t>
            </w:r>
          </w:p>
          <w:p w14:paraId="66764CC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C933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Wprowadzona formuła nie zawiera błędu. Na drogach gminnych o istniejącej nawierzchni bitumicznej założono </w:t>
            </w:r>
            <w:proofErr w:type="spellStart"/>
            <w:r w:rsidRPr="00AF0BBB">
              <w:rPr>
                <w:rFonts w:ascii="Times New Roman" w:eastAsia="Times New Roman" w:hAnsi="Times New Roman" w:cs="Times New Roman"/>
                <w:color w:val="auto"/>
                <w:sz w:val="22"/>
                <w:szCs w:val="22"/>
              </w:rPr>
              <w:t>jejodtworzenie</w:t>
            </w:r>
            <w:proofErr w:type="spellEnd"/>
            <w:r w:rsidRPr="00AF0BBB">
              <w:rPr>
                <w:rFonts w:ascii="Times New Roman" w:eastAsia="Times New Roman" w:hAnsi="Times New Roman" w:cs="Times New Roman"/>
                <w:color w:val="auto"/>
                <w:sz w:val="22"/>
                <w:szCs w:val="22"/>
              </w:rPr>
              <w:t xml:space="preserve"> na szerokości wykopu pod wykonywane sieci (przyjęto szerokość 2,5 m) oraz wykonanie nowej warstwy wiążącej na poszerzeniu jezdni. Na odtworzonej warstwie ścieralnej założono wykonanie  nowej warstwy ścieralnej gr. 6 cm (kolumny AC) na całej szerokości jezdni.</w:t>
            </w:r>
          </w:p>
        </w:tc>
      </w:tr>
      <w:tr w:rsidR="00AF0BBB" w:rsidRPr="00AF0BBB" w14:paraId="0970A21E"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12C00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45D1F6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Wykaz Cen, zakładka Buszkowice, w komórce AI10 występuje ujemna wartość - prosimy o wyjaśnienie lub ewentualną korektę.</w:t>
            </w:r>
          </w:p>
          <w:p w14:paraId="138BD85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7547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Powinna być wartość „0”, wprowadzono korektę</w:t>
            </w:r>
          </w:p>
        </w:tc>
      </w:tr>
      <w:tr w:rsidR="00AF0BBB" w:rsidRPr="00AF0BBB" w14:paraId="6E9B7F40"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080BA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CB2D1D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Wykaz Cen, zakładka Zaborów, w komórkach AI14, AJ14, AM14 występuje ujemna wartość - prosimy o wyjaśnienie lub ewentualną korektę.</w:t>
            </w:r>
          </w:p>
          <w:p w14:paraId="2329015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5578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Powinna być wartość „0”, wprowadzono korektę</w:t>
            </w:r>
          </w:p>
        </w:tc>
      </w:tr>
      <w:tr w:rsidR="00AF0BBB" w:rsidRPr="00AF0BBB" w14:paraId="7FB0FD83"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6DB6D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20CCC1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dopuszcza wykorzystanie kruszywa pozyskanego z rozbiórek nawierzchni do ponownego wbudowania w warstwy nawierzchni lub ulepszenie podłoża gruntowego?</w:t>
            </w:r>
          </w:p>
          <w:p w14:paraId="2FFE9B1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221E5" w14:textId="30BDEE8B"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nie dopuszcza</w:t>
            </w:r>
            <w:r>
              <w:rPr>
                <w:rFonts w:ascii="Times New Roman" w:eastAsia="Times New Roman" w:hAnsi="Times New Roman" w:cs="Times New Roman"/>
                <w:color w:val="auto"/>
                <w:sz w:val="22"/>
                <w:szCs w:val="22"/>
              </w:rPr>
              <w:t xml:space="preserve"> </w:t>
            </w:r>
            <w:r w:rsidRPr="00AF0BBB">
              <w:rPr>
                <w:rFonts w:ascii="Times New Roman" w:eastAsia="Times New Roman" w:hAnsi="Times New Roman" w:cs="Times New Roman"/>
                <w:color w:val="auto"/>
                <w:sz w:val="22"/>
                <w:szCs w:val="22"/>
              </w:rPr>
              <w:t>wykorzystanie kruszywa</w:t>
            </w:r>
          </w:p>
          <w:p w14:paraId="7E578C5E" w14:textId="417B1BD1"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pozyskanego z rozbiórek nawierzchni</w:t>
            </w:r>
            <w:r>
              <w:rPr>
                <w:rFonts w:ascii="Times New Roman" w:eastAsia="Times New Roman" w:hAnsi="Times New Roman" w:cs="Times New Roman"/>
                <w:color w:val="auto"/>
                <w:sz w:val="22"/>
                <w:szCs w:val="22"/>
              </w:rPr>
              <w:t xml:space="preserve"> </w:t>
            </w:r>
            <w:r w:rsidRPr="00AF0BBB">
              <w:rPr>
                <w:rFonts w:ascii="Times New Roman" w:eastAsia="Times New Roman" w:hAnsi="Times New Roman" w:cs="Times New Roman"/>
                <w:color w:val="auto"/>
                <w:sz w:val="22"/>
                <w:szCs w:val="22"/>
              </w:rPr>
              <w:t>do ponownego wbudowania warstwy</w:t>
            </w:r>
            <w:r>
              <w:rPr>
                <w:rFonts w:ascii="Times New Roman" w:eastAsia="Times New Roman" w:hAnsi="Times New Roman" w:cs="Times New Roman"/>
                <w:color w:val="auto"/>
                <w:sz w:val="22"/>
                <w:szCs w:val="22"/>
              </w:rPr>
              <w:t xml:space="preserve"> </w:t>
            </w:r>
            <w:r w:rsidRPr="00AF0BBB">
              <w:rPr>
                <w:rFonts w:ascii="Times New Roman" w:eastAsia="Times New Roman" w:hAnsi="Times New Roman" w:cs="Times New Roman"/>
                <w:color w:val="auto"/>
                <w:sz w:val="22"/>
                <w:szCs w:val="22"/>
              </w:rPr>
              <w:t>nawierzchni lub ulepszenie podłoża</w:t>
            </w:r>
            <w:r>
              <w:rPr>
                <w:rFonts w:ascii="Times New Roman" w:eastAsia="Times New Roman" w:hAnsi="Times New Roman" w:cs="Times New Roman"/>
                <w:color w:val="auto"/>
                <w:sz w:val="22"/>
                <w:szCs w:val="22"/>
              </w:rPr>
              <w:t xml:space="preserve"> </w:t>
            </w:r>
            <w:r w:rsidRPr="00AF0BBB">
              <w:rPr>
                <w:rFonts w:ascii="Times New Roman" w:eastAsia="Times New Roman" w:hAnsi="Times New Roman" w:cs="Times New Roman"/>
                <w:color w:val="auto"/>
                <w:sz w:val="22"/>
                <w:szCs w:val="22"/>
              </w:rPr>
              <w:t>gruntowego</w:t>
            </w:r>
          </w:p>
        </w:tc>
      </w:tr>
      <w:tr w:rsidR="00AF0BBB" w:rsidRPr="00AF0BBB" w14:paraId="40296B67"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FA851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CD0E95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Tabela "Wykaz Cen" nie zawiera pozycji krawężniki (D - 08.01.01) ani obrzeża (D - 08.03.01) - prosimy o uzupełnienie.</w:t>
            </w:r>
          </w:p>
          <w:p w14:paraId="7593D57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0243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Zgodnie z instrukcją do Tabeli „Wykaz Cen” krawężniki oraz obrzeża zostały zawarte w pozycji „Chodnik z kostki bet. długość [m]” (kolumny AS) – w zakresie chodnika oraz w pozycji „Zjazdy i dojścia [</w:t>
            </w:r>
            <w:proofErr w:type="spellStart"/>
            <w:r w:rsidRPr="00AF0BBB">
              <w:rPr>
                <w:rFonts w:ascii="Times New Roman" w:eastAsia="Times New Roman" w:hAnsi="Times New Roman" w:cs="Times New Roman"/>
                <w:color w:val="auto"/>
                <w:sz w:val="22"/>
                <w:szCs w:val="22"/>
              </w:rPr>
              <w:t>szt</w:t>
            </w:r>
            <w:proofErr w:type="spellEnd"/>
            <w:r w:rsidRPr="00AF0BBB">
              <w:rPr>
                <w:rFonts w:ascii="Times New Roman" w:eastAsia="Times New Roman" w:hAnsi="Times New Roman" w:cs="Times New Roman"/>
                <w:color w:val="auto"/>
                <w:sz w:val="22"/>
                <w:szCs w:val="22"/>
              </w:rPr>
              <w:t>]” (kolumny AF) – w zakresie zjazdów i dojść do posesji,</w:t>
            </w:r>
          </w:p>
        </w:tc>
      </w:tr>
      <w:tr w:rsidR="00AF0BBB" w:rsidRPr="00AF0BBB" w14:paraId="158196AF"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0A351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2A2C78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 PFU wynika, iż w ramach kontraktu należy wykonać zatoki i przystanki autobusowe czy w związku z tym Wykaz Cen zawiera pozycje dotyczące wykonania tych robót? Jeżeli nie prosimy o uzupełnienie.</w:t>
            </w:r>
          </w:p>
          <w:p w14:paraId="69CD9DF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3279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23"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ramach kontraktu należy wykonać zatokę autobusową. Wykaz cen został skorygowany.</w:t>
            </w:r>
          </w:p>
        </w:tc>
      </w:tr>
      <w:tr w:rsidR="00AF0BBB" w:rsidRPr="00AF0BBB" w14:paraId="1D22C233"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7E631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6ACF11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PFU występuje zapis o konieczności doprowadzenia podłoża gruntowego do G1 (za pomocą stabilizacji chemicznej lub mechanicznej) powyższa czynność nie została uwzględniona w wykazie cen - prosimy o uzupełnienie.</w:t>
            </w:r>
          </w:p>
          <w:p w14:paraId="23AA5AA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5455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Zgodnie z instrukcją do Tabeli „Wykaz Cen” kolumny G oraz AJ zawierają: „wykonanie warstwy podbudowy z kruszywa łamanego wraz z doprowadzeniem podłoża do grupy nośności G1”,</w:t>
            </w:r>
          </w:p>
        </w:tc>
      </w:tr>
      <w:tr w:rsidR="00AF0BBB" w:rsidRPr="00AF0BBB" w14:paraId="75B4A7A1"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80E7F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14F7C2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Jakie czynności (elementy) obejmuje hasło "urządzenie przystanków i zatok autobusowych"? Czy w zakres wchodzi dostawa wiat przystankowych? W jakiej pozycji Wykazu Cen należy ująć te elementy?</w:t>
            </w:r>
          </w:p>
          <w:p w14:paraId="215A5EA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CE90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23"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 zakres zadanie nie wchodzi dostawa wiat przystankowych. Budowa zatoki autobusowej w Buszkowicach została ujęta w komórkach </w:t>
            </w:r>
            <w:r w:rsidRPr="00AF0BBB">
              <w:rPr>
                <w:rFonts w:ascii="Calibri" w:eastAsia="Times New Roman" w:hAnsi="Calibri" w:cs="Times New Roman"/>
                <w:color w:val="auto"/>
                <w:sz w:val="22"/>
                <w:szCs w:val="22"/>
              </w:rPr>
              <w:t>AO3 oraz AQ3. Wykaz Cen został poprawiony.</w:t>
            </w:r>
          </w:p>
        </w:tc>
      </w:tr>
      <w:tr w:rsidR="00AF0BBB" w:rsidRPr="00AF0BBB" w14:paraId="5B321BB5"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8FAF8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94D47A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Jakie materiały z rozbiórek przejmie Zamawiający i gdzie należy je dostarczyć?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380D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przejmie wszystkie elementy granitowe. Zamawiający wskaże miejsce składowania kostki kamiennej brukowej pochodzącej z rozbiórki. Odległość nie większa niż 7 km.</w:t>
            </w:r>
          </w:p>
        </w:tc>
      </w:tr>
      <w:tr w:rsidR="00AF0BBB" w:rsidRPr="00AF0BBB" w14:paraId="792646FD"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5DCE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5CE166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Do kogo będzie należało kruszywo i destrukt z rozbiórek nawierzchni?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EC55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Kruszywo  i destrukt z rozbiórek nawierzchni będą należały do wykonawcy.</w:t>
            </w:r>
          </w:p>
        </w:tc>
      </w:tr>
      <w:tr w:rsidR="00AF0BBB" w:rsidRPr="00AF0BBB" w14:paraId="5A70094A"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E5FC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72C551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Do kogo należał będzie gruz i grunt pozyskany z wykopów?</w:t>
            </w:r>
          </w:p>
          <w:p w14:paraId="6AC9355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0FAB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Gruz i grunt pozyskany z wykopów będą należały do wykonawcy.</w:t>
            </w:r>
          </w:p>
        </w:tc>
      </w:tr>
      <w:tr w:rsidR="00AF0BBB" w:rsidRPr="00AF0BBB" w14:paraId="4FA1BA55"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21338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FC36FA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Tabela Wykazu Cen. Prosimy o wyjaśnienie nazw kolumny "E" gdzie występują dwie nazwy tj. "istniejąca nawierzchnia" (np.. Dąbrowa Dolna) i "suma poza zakresem odbudowy nawierzchni" (np.. Buszkowice)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E514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Jest to błąd w tabeli, dla każdej miejscowości kolumna „E” powinna nazywać się „Istniejąca nawierzchnia”.</w:t>
            </w:r>
          </w:p>
        </w:tc>
      </w:tr>
      <w:tr w:rsidR="00AF0BBB" w:rsidRPr="00AF0BBB" w14:paraId="7BF715CF"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76340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3B6F8F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Kto ponosi odpowiedzialność za ilości wprowadzone (obliczone) w Wykazie Cen. Zamawiający pomimo ryczałtowego charakteru kontraktu narzuca algorytm obliczania ceny na podstawie przedstawionych ilości przedmiarowych i cen jednostkowych opracowanych przez Wykonawcę. Jak zachowa się Zamawiający w przypadku ujawnienia na etapie realizacji budowy, iż wpisana/obliczona ilość danej pozycji jest zaniżona a jej nieprawidłowość wynika np. z błędu rachunkowego, źle wprowadzonej formuły itp. Czy Zamawiający pokryje różnicę między prawidłową ilością a błędnie skalkulowaną? Co w przypadku sytuacji odwrotnej tj. gdy ilość prawidłowa będzie mniejsza niż ta błędnie przedstawiona w tabeli?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AD2D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2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Cena oferty musi zawierać wszelkie koszty niezbędne do realizacji zamówienia, tj. zarówno te wprost wynikające z Wykazu Cen, PFU, Projektów budowlanych, jak również w nim nie ujęte, a wynikające z wiedzy technicznej wykonawców.. Wykonawca ma możliwość skonfrontować dokumentacje dołączone do przetargu ze swoją wiedzą</w:t>
            </w:r>
            <w:r w:rsidRPr="00AF0BBB">
              <w:rPr>
                <w:rFonts w:eastAsia="Times New Roman"/>
                <w:color w:val="auto"/>
                <w:sz w:val="26"/>
                <w:szCs w:val="26"/>
              </w:rPr>
              <w:t xml:space="preserve"> </w:t>
            </w:r>
            <w:r w:rsidRPr="00AF0BBB">
              <w:rPr>
                <w:rFonts w:ascii="Times New Roman" w:eastAsia="Times New Roman" w:hAnsi="Times New Roman" w:cs="Times New Roman"/>
                <w:color w:val="auto"/>
                <w:sz w:val="22"/>
                <w:szCs w:val="22"/>
              </w:rPr>
              <w:t>techniczną i doświadczeniem oraz z</w:t>
            </w:r>
            <w:r w:rsidRPr="00AF0BBB">
              <w:rPr>
                <w:rFonts w:eastAsia="Times New Roman"/>
                <w:color w:val="auto"/>
                <w:sz w:val="26"/>
                <w:szCs w:val="26"/>
              </w:rPr>
              <w:t xml:space="preserve"> </w:t>
            </w:r>
            <w:r w:rsidRPr="00AF0BBB">
              <w:rPr>
                <w:rFonts w:ascii="Times New Roman" w:eastAsia="Times New Roman" w:hAnsi="Times New Roman" w:cs="Times New Roman"/>
                <w:color w:val="auto"/>
                <w:sz w:val="22"/>
                <w:szCs w:val="22"/>
              </w:rPr>
              <w:t>rzeczywistym stanem faktycznym, związanym z przyszłą inwestycją. Kontrakt jest ryczałtowy w trybie zaprojektuj i wybuduj, Wykaz cen ma jedynie  pomóc wykonawcy oszacować wielkość zamówienia podstawowego i zamówienia objętego prawem opcji. Każda cena jednostkowa w wykazie cen jest zryczałtowanym kosztem obejmującym szereg elementów, robót budowlanych, usług, dostaw które należy wycenić na podstawie dokumentów kontraktowych i wiedzy technicznej Wykonawcy.   Opcje będą uruchamiane zgodnie z cenami jednostkowymi do wielkości wykazanych w wykazie cen, z zastrzeżeniem że wielkości te są orientacyjne, a Wykonawca jest zobowiązany na mocy Kontraktu wykonać Roboty w sposób kompleksowy osiągając cele zdefiniowane w PFU.</w:t>
            </w:r>
          </w:p>
        </w:tc>
      </w:tr>
      <w:tr w:rsidR="00AF0BBB" w:rsidRPr="00AF0BBB" w14:paraId="0A178BC4"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0C9DA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C083E5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Czy długość kanalizacji deszczowej obejmuje długości </w:t>
            </w:r>
            <w:proofErr w:type="spellStart"/>
            <w:r w:rsidRPr="00AF0BBB">
              <w:rPr>
                <w:rFonts w:ascii="Times New Roman" w:eastAsia="Times New Roman" w:hAnsi="Times New Roman" w:cs="Times New Roman"/>
                <w:color w:val="auto"/>
                <w:sz w:val="22"/>
                <w:szCs w:val="22"/>
              </w:rPr>
              <w:t>przykanalików</w:t>
            </w:r>
            <w:proofErr w:type="spellEnd"/>
            <w:r w:rsidRPr="00AF0BBB">
              <w:rPr>
                <w:rFonts w:ascii="Times New Roman" w:eastAsia="Times New Roman" w:hAnsi="Times New Roman" w:cs="Times New Roman"/>
                <w:color w:val="auto"/>
                <w:sz w:val="22"/>
                <w:szCs w:val="22"/>
              </w:rPr>
              <w:t xml:space="preserve"> do wpustów deszczowych?</w:t>
            </w:r>
          </w:p>
          <w:p w14:paraId="134D994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E1F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zakresie wykonania kanalizacji deszczowej wchodzi wykonanie wpustów deszczowych oraz wykonanie przyłączy kanalizacji deszczowej do tych wpustów</w:t>
            </w:r>
          </w:p>
        </w:tc>
      </w:tr>
      <w:tr w:rsidR="00AF0BBB" w:rsidRPr="00AF0BBB" w14:paraId="6A349540"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5994D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BAF4C7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wyjaśnienie, z jakich materiałów ma zostać wykonana kanalizacja deszczowa - nie znaleźliśmy informacji w materiałach przetargowych</w:t>
            </w:r>
          </w:p>
          <w:p w14:paraId="4F14C3E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C2C8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ramach kanalizacji deszczowej przyjmuje się rury drenarskie karbowane o średnicy 300.</w:t>
            </w:r>
          </w:p>
        </w:tc>
      </w:tr>
      <w:tr w:rsidR="00AF0BBB" w:rsidRPr="00AF0BBB" w14:paraId="4FA9BC7E"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4E952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7BD28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 związku z koniecznością przebudowy sieci wodociągowej prosimy o wyjaśnienie czy odcinek 1,25 km rurociągu żeliwnego należy wykonać z rur z żeliwa sferoidalnego? Jakiej średnicy rury zastosować, zapis tabeli PFU jest niejasny.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0318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Przebudowa istniejącej sieci wodociągowej – dotyczy odcinka sieci wodociągowej łączącej m. Krzyżowa ze Ścinawą ( skrzyżowanie ul.</w:t>
            </w:r>
          </w:p>
          <w:p w14:paraId="3408C63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Legnickiej i Witosa). Zakłada się, że istniejąca sieć wybudowana jest z rur żeliwnych. Materiał użyty do przebudowy to PEHD zgodnie z pkt. 3.4.1.1 akapit System z PE HD.  Ostateczna średnica rurociągu zostanie określona przez Projektanta na etapie Projektu po dokonaniu stosownych obliczeń.</w:t>
            </w:r>
          </w:p>
        </w:tc>
      </w:tr>
      <w:tr w:rsidR="00AF0BBB" w:rsidRPr="00AF0BBB" w14:paraId="38B8C3C5" w14:textId="77777777" w:rsidTr="00AF0BBB">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11F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bookmarkStart w:id="0" w:name="_GoBack"/>
            <w:bookmarkEnd w:id="0"/>
            <w:r w:rsidRPr="00AF0BBB">
              <w:rPr>
                <w:rFonts w:ascii="Times New Roman" w:eastAsia="Times New Roman" w:hAnsi="Times New Roman" w:cs="Times New Roman"/>
                <w:color w:val="auto"/>
                <w:sz w:val="22"/>
                <w:szCs w:val="22"/>
              </w:rPr>
              <w:t>27.10.2017r.</w:t>
            </w:r>
          </w:p>
          <w:p w14:paraId="4F189A3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AF0BBB" w:rsidRPr="00AF0BBB" w14:paraId="4DCA1231" w14:textId="77777777" w:rsidTr="00AF0BBB">
              <w:trPr>
                <w:trHeight w:val="585"/>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1B9BE6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20437BCF" w14:textId="77777777" w:rsidTr="00AF0BBB">
              <w:trPr>
                <w:trHeight w:val="5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28B20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bl>
          <w:p w14:paraId="57F17AEE" w14:textId="77777777" w:rsidR="00AF0BBB" w:rsidRPr="00AF0BBB" w:rsidRDefault="00AF0BBB" w:rsidP="00AF0BBB">
            <w:pPr>
              <w:pBdr>
                <w:top w:val="none" w:sz="0" w:space="0" w:color="auto"/>
                <w:left w:val="none" w:sz="0" w:space="0" w:color="auto"/>
                <w:bottom w:val="single" w:sz="4" w:space="1" w:color="000000"/>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4"/>
                <w:szCs w:val="24"/>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605E84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Zwracamy się z prośbą o wyjaśnienie, czy Zamawiający umożliwia rozliczenia częściowe w częstotliwości miesięcznej w oparciu o procentowe zaawansowanie robót?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CFA9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doprecyzowuje zapisy umowy i wyraźnie wskazuje, że kolejne płatności będą zgodne z procedurami zawartymi w Kontrakcie i będą zależały od ilości wykonanych prac -  Minimalna kwota Przejściowego Świadectwa Płatności została określona w załączniku do Oferty. Wykonawca nie może wystawić faktury częściej niż 1 raz na dwa miesiące.</w:t>
            </w:r>
          </w:p>
          <w:p w14:paraId="0616EE1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r w:rsidR="00AF0BBB" w:rsidRPr="00AF0BBB" w14:paraId="5FBEA244"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3B271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F589FD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Zwracamy się z prośbą o zmianę zapisu §15.2 lit. a o umożliwienie odbiorów częściowych z nieistotnymi wadami.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8AAD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nie wyraża zgody na zmianę umowy w tym zakresie.</w:t>
            </w:r>
          </w:p>
        </w:tc>
      </w:tr>
      <w:tr w:rsidR="00AF0BBB" w:rsidRPr="00AF0BBB" w14:paraId="0F17EFA1"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63F25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854626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Zwracamy się z prośbą o skrócenie terminu odstąpienia do 42 dni.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EB8E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Zapisy dotyczące odstąpienia pozostają bez zmian.</w:t>
            </w:r>
          </w:p>
        </w:tc>
      </w:tr>
      <w:tr w:rsidR="00AF0BBB" w:rsidRPr="00AF0BBB" w14:paraId="50CAF2A4"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509D1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3A6B47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wyjaśnienie zapisu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4.2 „W momencie uruchomienia prawa opcji wysokość zabezpieczenia (10%) będzie liczona odpowiednio do wysokości zakresu rzeczowego robót zleconych w ramach opcji przewidzianych w Kontrakcie” skoro w umowie dotyczącej budowy oświetlenia widnieje w §16 wartość zabezpieczenia wykonania umowy na poziomie 5% wartości robót.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6663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Umowa na roboty budowlane FIDIC jest odrębna umową od umowy na roboty budowlane związane z budową oświetlenia. </w:t>
            </w:r>
          </w:p>
          <w:p w14:paraId="0C6D1BA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Zamawiający ujednolicił zapisy we wzorze umowy na roboty budowlane KS - oświetlenie - wykup </w:t>
            </w:r>
            <w:r w:rsidRPr="00AF0BBB">
              <w:rPr>
                <w:rFonts w:ascii="Times New Roman" w:eastAsia="Times New Roman" w:hAnsi="Times New Roman" w:cs="Times New Roman"/>
                <w:color w:val="auto"/>
                <w:sz w:val="22"/>
                <w:szCs w:val="22"/>
              </w:rPr>
              <w:lastRenderedPageBreak/>
              <w:t>wierzytelności w zakresie poziomu zabezpieczenia należytego umowy i określił go na poziomie 10 %.</w:t>
            </w:r>
          </w:p>
        </w:tc>
      </w:tr>
      <w:tr w:rsidR="00AF0BBB" w:rsidRPr="00AF0BBB" w14:paraId="369CB074"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CB6C0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AFBF1F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Wnosimy o obniżenie wartości kary umownej do wysokości 0,2% wynagrodzenia należnego podwykonawcom brutto.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EEED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38"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Zapisy Kontraktu w tym zakresie pozostają bez zmian.</w:t>
            </w:r>
          </w:p>
        </w:tc>
      </w:tr>
      <w:tr w:rsidR="00AF0BBB" w:rsidRPr="00AF0BBB" w14:paraId="18ACE11F"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2A148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D62565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zmianę zapisów kar umownych tak, aby były liczone za </w:t>
            </w:r>
            <w:r w:rsidRPr="00AF0BBB">
              <w:rPr>
                <w:rFonts w:ascii="Times New Roman" w:eastAsia="Times New Roman" w:hAnsi="Times New Roman" w:cs="Times New Roman"/>
                <w:i/>
                <w:iCs/>
                <w:color w:val="auto"/>
                <w:sz w:val="22"/>
                <w:szCs w:val="22"/>
                <w:u w:val="single"/>
              </w:rPr>
              <w:t>zwłokę</w:t>
            </w:r>
            <w:r w:rsidRPr="00AF0BBB">
              <w:rPr>
                <w:rFonts w:ascii="Times New Roman" w:eastAsia="Times New Roman" w:hAnsi="Times New Roman" w:cs="Times New Roman"/>
                <w:color w:val="auto"/>
                <w:sz w:val="22"/>
                <w:szCs w:val="22"/>
              </w:rPr>
              <w:t xml:space="preserve"> a nie za </w:t>
            </w:r>
            <w:r w:rsidRPr="00AF0BBB">
              <w:rPr>
                <w:rFonts w:ascii="Times New Roman" w:eastAsia="Times New Roman" w:hAnsi="Times New Roman" w:cs="Times New Roman"/>
                <w:i/>
                <w:iCs/>
                <w:color w:val="auto"/>
                <w:sz w:val="22"/>
                <w:szCs w:val="22"/>
                <w:u w:val="single"/>
              </w:rPr>
              <w:t>opóźnienie</w:t>
            </w:r>
            <w:r w:rsidRPr="00AF0BBB">
              <w:rPr>
                <w:rFonts w:ascii="Times New Roman" w:eastAsia="Times New Roman" w:hAnsi="Times New Roman" w:cs="Times New Roman"/>
                <w:color w:val="auto"/>
                <w:sz w:val="22"/>
                <w:szCs w:val="22"/>
              </w:rPr>
              <w:t>.</w:t>
            </w:r>
          </w:p>
          <w:p w14:paraId="5096EC2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F200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142" w:firstLine="3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Zapisy Kontraktu w tym zakresie pozostają bez zmian.</w:t>
            </w:r>
          </w:p>
        </w:tc>
      </w:tr>
      <w:tr w:rsidR="00AF0BBB" w:rsidRPr="00AF0BBB" w14:paraId="1C1ED56F"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4532A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8B5536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Wnosimy o ustalenie łącznego limitu kar umownych na poziomie 10% ZKK brutto.</w:t>
            </w:r>
          </w:p>
          <w:p w14:paraId="0F4DD11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24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A3E8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7"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Dokonano modyfikacji umowy WSK klauzula 8.7  i załącznika do Oferty.</w:t>
            </w:r>
          </w:p>
        </w:tc>
      </w:tr>
      <w:tr w:rsidR="00AF0BBB" w:rsidRPr="00AF0BBB" w14:paraId="070B7979"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EEC2D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3B6735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Wnosimy o zmianę zapisów SIWZ oraz umowy tak, aby w umowę wykupu wierzytelności dostosować do warunków rynkowych tj. umożliwienie zawarcia dwóch odrębnych umów: pierwsza - pomiędzy Wykonawcą a Bankiem dokonującym wykupu w zakresie wykupu wierzytelności; druga – pomiędzy bankiem dokonującym wykupu wierzytelności a Zamawiającym w zakresie spłaty wierzytelności.</w:t>
            </w:r>
          </w:p>
          <w:p w14:paraId="5973053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C664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pozostawia zapisy SIWZ bez zmian.</w:t>
            </w:r>
          </w:p>
        </w:tc>
      </w:tr>
      <w:tr w:rsidR="00AF0BBB" w:rsidRPr="00AF0BBB" w14:paraId="261A38CD"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3FD0B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1374B2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wyjaśnienie czy Zamawiający poprzez stwierdzenie „spłata następować będzie (…) ratami równymi” rozumie równymi ratami kapitałowymi czy kapitałowo-odsetkowymi?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A2FD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rozumie raty jako raty kapitałowe.</w:t>
            </w:r>
          </w:p>
        </w:tc>
      </w:tr>
      <w:tr w:rsidR="00AF0BBB" w:rsidRPr="00AF0BBB" w14:paraId="6448C720"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01E75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F13D5E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potwierdza, iż mając na uwadze zapis „Zamawiający płacił będzie raty miesięczne z dołu do 10 dnia miesiąca następującego po miesiącu” Zamawiający będzie płacił odsetki również za czas pomiędzy ostatnim dniem miesiąca do dnia, w którym nastąpi płatność danej raty.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20A1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Calibri" w:eastAsia="Times New Roman" w:hAnsi="Calibri" w:cs="Times New Roman"/>
                <w:color w:val="auto"/>
                <w:sz w:val="22"/>
                <w:szCs w:val="22"/>
              </w:rPr>
              <w:t>Odsetki liczone będą za okres od 10 każdego miesiąca do 10 następnego miesiąca, kapitał spłacany będzie na 10 każdego miesiąca</w:t>
            </w:r>
          </w:p>
        </w:tc>
      </w:tr>
      <w:tr w:rsidR="00AF0BBB" w:rsidRPr="00AF0BBB" w14:paraId="6E630044"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A512B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ECC832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zmianę zapisów umownych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4.4 lit s tak, aby Wykonawca był zobowiązany do dostarczenia Zamawiającemu oświadczenia podwykonawców lub dowodów zapłaty wraz z oświadczeniem Wykonawcy o uregulowania wszystkich zobowiązań wobec podwykonawców. Zwracamy uwagę, iż częstokroć otrzymanie oświadczenia od podwykonawców jest utrudnione pomimo uregulowania zobowiązań.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116C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 umowny WSK został zmodyfikowany, na stronie internetowej wraz z odpowiedziami załącza się  wersję Kontraktu z wprowadzonymi  zmianami.</w:t>
            </w:r>
          </w:p>
        </w:tc>
      </w:tr>
      <w:tr w:rsidR="00AF0BBB" w:rsidRPr="00AF0BBB" w14:paraId="676741DB"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0E313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682858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zmianę zapisów umownych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4.4 lit u oraz x tak, aby Wykonawca był zobowiązany do udokumentowania Zamawiającemu uregulowania wobec podwykonawców zobowiązań wymagalnych zamiast należnych. Zwracamy uwagę, iż konieczność zapłaty zobowiązań należnych tj. przed ich terminem wymagalności będzie wymagać doliczenia kosztów finansowania własnego Wykonawców, co negatywnie wpłynie na wysokość ofert.</w:t>
            </w:r>
          </w:p>
          <w:p w14:paraId="7848C27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91AD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Zapisy umowne w tym zakresie pozostają bez zmian.</w:t>
            </w:r>
          </w:p>
        </w:tc>
      </w:tr>
      <w:tr w:rsidR="00AF0BBB" w:rsidRPr="00AF0BBB" w14:paraId="3B86BA9B"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565EA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F79FC5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zmianę zapisów umownych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8.7 tak, aby w przypadku wykonawstwa zastępczego w usuwaniu wad na koszt Wykonawcy, wszelkie koszty takiego zastępstwa były kalkulowane w oparciu o cenniki powszechnie obowiązujące w budownictwie.</w:t>
            </w:r>
          </w:p>
          <w:p w14:paraId="75D18C8F"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A41B0"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Dokonano korekty w WSK klauzula 8.7</w:t>
            </w:r>
          </w:p>
        </w:tc>
      </w:tr>
      <w:tr w:rsidR="00AF0BBB" w:rsidRPr="00AF0BBB" w14:paraId="1F7ED8AA"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B1929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951AA3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zmianę zapisów umownych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13.1 tak, aby w przypadku zmiany terminu realizacji umowy nie z winy Wykonawcy, był on uprawniony do zwrotu uzasadnionych i udokumentowanych kosztów wynikających w takiej zmiany. W przypadku punktu e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13.1 wnosimy o ograniczenie możliwości rezygnacji z robót przez Zamawiającego do 10% wartości umowy oraz do informowania Wykonawcy o takiej rezygnacji najpóźniej do 30 dni przez rozpoczęciem się etapu, którego dotyczy rezygnacja.</w:t>
            </w:r>
          </w:p>
          <w:p w14:paraId="5CFC918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861D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Wprowadzono zmiany w klauzuli 13.1, zgodnie z wolą Wykonawcy.</w:t>
            </w:r>
          </w:p>
        </w:tc>
      </w:tr>
      <w:tr w:rsidR="00AF0BBB" w:rsidRPr="00AF0BBB" w14:paraId="2FF52115"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4ABDE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E6375E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przywrócenie całej treści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13.8.</w:t>
            </w:r>
          </w:p>
          <w:p w14:paraId="38AFAB03"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0687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Nie wprowadza się zmian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13.8</w:t>
            </w:r>
          </w:p>
        </w:tc>
      </w:tr>
      <w:tr w:rsidR="00AF0BBB" w:rsidRPr="00AF0BBB" w14:paraId="7CBA6B61"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02F9C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F34DDED"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Wnosimy o dodanie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16A.1 lit b możliwości zwrotu kosztów wynikających z mobilizacji Wykonawcy.</w:t>
            </w:r>
          </w:p>
          <w:p w14:paraId="7A327B0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6A2A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Nie wprowadza się zmian w </w:t>
            </w:r>
            <w:proofErr w:type="spellStart"/>
            <w:r w:rsidRPr="00AF0BBB">
              <w:rPr>
                <w:rFonts w:ascii="Times New Roman" w:eastAsia="Times New Roman" w:hAnsi="Times New Roman" w:cs="Times New Roman"/>
                <w:color w:val="auto"/>
                <w:sz w:val="22"/>
                <w:szCs w:val="22"/>
              </w:rPr>
              <w:t>subklauzuli</w:t>
            </w:r>
            <w:proofErr w:type="spellEnd"/>
            <w:r w:rsidRPr="00AF0BBB">
              <w:rPr>
                <w:rFonts w:ascii="Times New Roman" w:eastAsia="Times New Roman" w:hAnsi="Times New Roman" w:cs="Times New Roman"/>
                <w:color w:val="auto"/>
                <w:sz w:val="22"/>
                <w:szCs w:val="22"/>
              </w:rPr>
              <w:t xml:space="preserve"> 16.A</w:t>
            </w:r>
          </w:p>
        </w:tc>
      </w:tr>
      <w:tr w:rsidR="00AF0BBB" w:rsidRPr="00AF0BBB" w14:paraId="712B3569"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B6678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EAF0A5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wyjaśnienie czy zapis w par. 1.3 umowy budowy oświetlenie na terenach wiejskich „Wykonawca oświadcza, że posiada możliwość sfinansowania wykonanej inwestycji (…)” dotyczy umowy wykupu wierzytelności czy może Zamawiający żąda od Wykonawcy dodatkowego finansowania? Ponadto wnosimy o poprawę daty w tymże paragrafie na zgodną z SIWZ.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CE3C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Zapis dotyczy wykupu wierzytelności. Data we wzorze umowy została poprawiona.</w:t>
            </w:r>
          </w:p>
        </w:tc>
      </w:tr>
      <w:tr w:rsidR="00AF0BBB" w:rsidRPr="00AF0BBB" w14:paraId="5B44D922"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AD017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51E2A0B"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potwierdzenie, jaki jest wymagany okres gwarancji.</w:t>
            </w:r>
          </w:p>
          <w:p w14:paraId="713FAC7A"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8C54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Okres gwarancji jest jednym z kryteriów wyboru zgodnie z Częścią I SIWZ - Instrukcja dla Wykonawców w pkt. 13 podano: “Minimalny zaproponowany okres gwarancji nie może być krótszy niż 36 miesięcy oraz dłuższy niż 60 miesięcy”.</w:t>
            </w:r>
          </w:p>
        </w:tc>
      </w:tr>
      <w:tr w:rsidR="00AF0BBB" w:rsidRPr="00AF0BBB" w14:paraId="4542A170"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4ACAD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F554E22"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Prosimy o wskazanie sposobu naliczania odsetek.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3641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 xml:space="preserve">Do obliczania wysokości odsetek przyjmuje się, że rok obrachunkowy wynosi 360 dni a miesiąc 30 dni. Oprocentowanie liczone jest w oparciu o stawkę bazową powiększoną o stałą marżę banku. Stawką bazową jest WIBOR 1 M, która obliczana jest jako średnia arytmetyczna notowań w miesiącu </w:t>
            </w:r>
            <w:proofErr w:type="spellStart"/>
            <w:r w:rsidRPr="00AF0BBB">
              <w:rPr>
                <w:rFonts w:ascii="Times New Roman" w:eastAsia="Times New Roman" w:hAnsi="Times New Roman" w:cs="Times New Roman"/>
                <w:color w:val="auto"/>
                <w:sz w:val="22"/>
                <w:szCs w:val="22"/>
              </w:rPr>
              <w:t>poprzedzajacym</w:t>
            </w:r>
            <w:proofErr w:type="spellEnd"/>
            <w:r w:rsidRPr="00AF0BBB">
              <w:rPr>
                <w:rFonts w:ascii="Times New Roman" w:eastAsia="Times New Roman" w:hAnsi="Times New Roman" w:cs="Times New Roman"/>
                <w:color w:val="auto"/>
                <w:sz w:val="22"/>
                <w:szCs w:val="22"/>
              </w:rPr>
              <w:t xml:space="preserve"> miesiąc naliczenia odsetek.  </w:t>
            </w:r>
          </w:p>
        </w:tc>
      </w:tr>
      <w:tr w:rsidR="00AF0BBB" w:rsidRPr="00AF0BBB" w14:paraId="2911D6EF" w14:textId="77777777" w:rsidTr="00AF0BBB">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8278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30.10.2017r.</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D51E1E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wyraża zgodę, aby każda zmiana harmonogramu wymagała zgody Banku?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33B2C"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nie wyraża zgody, aby każda zmiana harmonogramu wymagała zgody Banku.</w:t>
            </w:r>
          </w:p>
        </w:tc>
      </w:tr>
      <w:tr w:rsidR="00AF0BBB" w:rsidRPr="00AF0BBB" w14:paraId="11B38CB3"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6F6166"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7F83FF9"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potwierdza, iż faktyczna spłata zobowiązania z tytułu wykupu będzie przebiegać od 10/02/2022 do 10/01/2027?</w:t>
            </w:r>
          </w:p>
          <w:p w14:paraId="19BB1CF5"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2B341"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Zamawiający potwierdza, że faktyczna spłata zobowiązania z tytułu wykupu będzie przebiegać od 10/02/2022 do 10/01/2027</w:t>
            </w:r>
          </w:p>
        </w:tc>
      </w:tr>
      <w:tr w:rsidR="00AF0BBB" w:rsidRPr="00AF0BBB" w14:paraId="272F9CB6" w14:textId="77777777" w:rsidTr="00AF0BBB">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295877"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D3391D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Czy Zamawiający wyraża zgodę na płatność odsetek bez karencji tj. począwszy od pierwszego miesiąca wykupu wierzytelności.</w:t>
            </w:r>
          </w:p>
          <w:p w14:paraId="7E6FB3CE"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1F4F4"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rPr>
                <w:rFonts w:ascii="Times New Roman" w:eastAsia="Times New Roman" w:hAnsi="Times New Roman" w:cs="Times New Roman"/>
                <w:color w:val="auto"/>
                <w:sz w:val="24"/>
                <w:szCs w:val="24"/>
              </w:rPr>
            </w:pPr>
            <w:r w:rsidRPr="00AF0BBB">
              <w:rPr>
                <w:rFonts w:ascii="Times New Roman" w:eastAsia="Times New Roman" w:hAnsi="Times New Roman" w:cs="Times New Roman"/>
                <w:color w:val="auto"/>
                <w:sz w:val="22"/>
                <w:szCs w:val="22"/>
              </w:rPr>
              <w:t>Odsetki naliczane będą od dnia uruchomienia wykupu wierzytelności, od bieżącego salda zadłużenia w okresach miesięcznych.</w:t>
            </w:r>
          </w:p>
          <w:p w14:paraId="492EE5B8" w14:textId="77777777" w:rsidR="00AF0BBB" w:rsidRPr="00AF0BBB" w:rsidRDefault="00AF0BBB" w:rsidP="00AF0BBB">
            <w:pPr>
              <w:pBdr>
                <w:top w:val="none" w:sz="0" w:space="0" w:color="auto"/>
                <w:left w:val="none" w:sz="0" w:space="0" w:color="auto"/>
                <w:bottom w:val="none" w:sz="0" w:space="0" w:color="auto"/>
                <w:right w:val="none" w:sz="0" w:space="0" w:color="auto"/>
                <w:between w:val="none" w:sz="0" w:space="0" w:color="auto"/>
              </w:pBdr>
              <w:spacing w:before="0" w:after="0" w:line="240" w:lineRule="auto"/>
              <w:ind w:left="0" w:firstLine="0"/>
              <w:jc w:val="left"/>
              <w:rPr>
                <w:rFonts w:ascii="Times New Roman" w:eastAsia="Times New Roman" w:hAnsi="Times New Roman" w:cs="Times New Roman"/>
                <w:color w:val="auto"/>
                <w:sz w:val="24"/>
                <w:szCs w:val="24"/>
              </w:rPr>
            </w:pPr>
          </w:p>
        </w:tc>
      </w:tr>
    </w:tbl>
    <w:p w14:paraId="0C11C3A6" w14:textId="009B3A39" w:rsidR="002E7925" w:rsidRPr="00AF0BBB" w:rsidRDefault="002E7925" w:rsidP="00AF0BBB">
      <w:pPr>
        <w:rPr>
          <w:color w:val="auto"/>
        </w:rPr>
      </w:pPr>
    </w:p>
    <w:sectPr w:rsidR="002E7925" w:rsidRPr="00AF0BBB" w:rsidSect="0087134B">
      <w:headerReference w:type="default" r:id="rId8"/>
      <w:pgSz w:w="16838" w:h="11906"/>
      <w:pgMar w:top="1417" w:right="1417" w:bottom="1417"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F4E19" w14:textId="77777777" w:rsidR="00F65877" w:rsidRDefault="00F65877">
      <w:pPr>
        <w:spacing w:before="0" w:after="0" w:line="240" w:lineRule="auto"/>
      </w:pPr>
      <w:r>
        <w:separator/>
      </w:r>
    </w:p>
  </w:endnote>
  <w:endnote w:type="continuationSeparator" w:id="0">
    <w:p w14:paraId="1ADA1983" w14:textId="77777777" w:rsidR="00F65877" w:rsidRDefault="00F658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7F24B" w14:textId="77777777" w:rsidR="00F65877" w:rsidRDefault="00F65877">
      <w:pPr>
        <w:spacing w:before="0" w:after="0" w:line="240" w:lineRule="auto"/>
      </w:pPr>
      <w:r>
        <w:separator/>
      </w:r>
    </w:p>
  </w:footnote>
  <w:footnote w:type="continuationSeparator" w:id="0">
    <w:p w14:paraId="2BC9CF8F" w14:textId="77777777" w:rsidR="00F65877" w:rsidRDefault="00F658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4A4F9" w14:textId="77777777" w:rsidR="002E7925" w:rsidRDefault="00D270DC">
    <w:pPr>
      <w:pBdr>
        <w:bottom w:val="single" w:sz="6" w:space="1" w:color="000000"/>
      </w:pBdr>
      <w:tabs>
        <w:tab w:val="right" w:pos="9072"/>
        <w:tab w:val="right" w:pos="9639"/>
      </w:tabs>
      <w:spacing w:before="708" w:after="0" w:line="240" w:lineRule="auto"/>
      <w:jc w:val="center"/>
      <w:rPr>
        <w:sz w:val="16"/>
        <w:szCs w:val="16"/>
      </w:rPr>
    </w:pPr>
    <w:r>
      <w:rPr>
        <w:noProof/>
        <w:sz w:val="16"/>
        <w:szCs w:val="16"/>
      </w:rPr>
      <w:drawing>
        <wp:inline distT="0" distB="0" distL="0" distR="0" wp14:anchorId="6BF9C224" wp14:editId="6799C08F">
          <wp:extent cx="5883275" cy="74993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883275" cy="7499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03386"/>
    <w:multiLevelType w:val="hybridMultilevel"/>
    <w:tmpl w:val="A7D62A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3643027"/>
    <w:multiLevelType w:val="multilevel"/>
    <w:tmpl w:val="1068D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384171B"/>
    <w:multiLevelType w:val="multilevel"/>
    <w:tmpl w:val="59965E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AFB62E0"/>
    <w:multiLevelType w:val="hybridMultilevel"/>
    <w:tmpl w:val="CF7C66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925"/>
    <w:rsid w:val="001B77C9"/>
    <w:rsid w:val="0028123C"/>
    <w:rsid w:val="002E7925"/>
    <w:rsid w:val="0037188F"/>
    <w:rsid w:val="003F3F0B"/>
    <w:rsid w:val="00437652"/>
    <w:rsid w:val="00641BCF"/>
    <w:rsid w:val="006C64C5"/>
    <w:rsid w:val="00795946"/>
    <w:rsid w:val="007A2965"/>
    <w:rsid w:val="0087134B"/>
    <w:rsid w:val="008F229B"/>
    <w:rsid w:val="00902686"/>
    <w:rsid w:val="00911341"/>
    <w:rsid w:val="00A36AE3"/>
    <w:rsid w:val="00A439ED"/>
    <w:rsid w:val="00AF0BBB"/>
    <w:rsid w:val="00D270DC"/>
    <w:rsid w:val="00E04B07"/>
    <w:rsid w:val="00E20997"/>
    <w:rsid w:val="00E93513"/>
    <w:rsid w:val="00F6460F"/>
    <w:rsid w:val="00F658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4D1B"/>
  <w15:docId w15:val="{29F6DC1D-8708-4C94-9664-7EB6B5EE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color w:val="000000"/>
        <w:lang w:val="pl-PL" w:eastAsia="pl-PL" w:bidi="ar-SA"/>
      </w:rPr>
    </w:rPrDefault>
    <w:pPrDefault>
      <w:pPr>
        <w:pBdr>
          <w:top w:val="nil"/>
          <w:left w:val="nil"/>
          <w:bottom w:val="nil"/>
          <w:right w:val="nil"/>
          <w:between w:val="nil"/>
        </w:pBdr>
        <w:spacing w:before="120" w:after="120" w:line="360" w:lineRule="auto"/>
        <w:ind w:left="709" w:hanging="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style>
  <w:style w:type="paragraph" w:styleId="Nagwek1">
    <w:name w:val="heading 1"/>
    <w:basedOn w:val="Normalny"/>
    <w:next w:val="Normalny"/>
    <w:pPr>
      <w:keepNext/>
      <w:keepLines/>
      <w:spacing w:before="480"/>
      <w:outlineLvl w:val="0"/>
    </w:pPr>
    <w:rPr>
      <w:b/>
      <w:sz w:val="48"/>
      <w:szCs w:val="48"/>
    </w:rPr>
  </w:style>
  <w:style w:type="paragraph" w:styleId="Nagwek2">
    <w:name w:val="heading 2"/>
    <w:basedOn w:val="Normalny"/>
    <w:next w:val="Normalny"/>
    <w:pPr>
      <w:keepNext/>
      <w:spacing w:before="0" w:after="0"/>
      <w:ind w:left="0" w:firstLine="0"/>
      <w:outlineLvl w:val="1"/>
    </w:pPr>
    <w:rPr>
      <w:rFonts w:ascii="Times New Roman" w:eastAsia="Times New Roman" w:hAnsi="Times New Roman" w:cs="Times New Roman"/>
      <w:b/>
      <w:sz w:val="24"/>
      <w:szCs w:val="24"/>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Tekstkomentarza">
    <w:name w:val="annotation text"/>
    <w:basedOn w:val="Normalny"/>
    <w:link w:val="TekstkomentarzaZnak"/>
    <w:uiPriority w:val="99"/>
    <w:semiHidden/>
    <w:unhideWhenUsed/>
    <w:pPr>
      <w:spacing w:line="240" w:lineRule="auto"/>
    </w:pPr>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3F3F0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3F0B"/>
    <w:rPr>
      <w:rFonts w:ascii="Segoe UI" w:hAnsi="Segoe UI" w:cs="Segoe UI"/>
      <w:sz w:val="18"/>
      <w:szCs w:val="18"/>
    </w:rPr>
  </w:style>
  <w:style w:type="paragraph" w:styleId="Akapitzlist">
    <w:name w:val="List Paragraph"/>
    <w:basedOn w:val="Normalny"/>
    <w:uiPriority w:val="34"/>
    <w:qFormat/>
    <w:rsid w:val="0028123C"/>
    <w:pPr>
      <w:pBdr>
        <w:top w:val="none" w:sz="0" w:space="0" w:color="auto"/>
        <w:left w:val="none" w:sz="0" w:space="0" w:color="auto"/>
        <w:bottom w:val="none" w:sz="0" w:space="0" w:color="auto"/>
        <w:right w:val="none" w:sz="0" w:space="0" w:color="auto"/>
        <w:between w:val="none" w:sz="0" w:space="0" w:color="auto"/>
      </w:pBdr>
      <w:spacing w:before="0" w:after="200" w:line="276" w:lineRule="auto"/>
      <w:ind w:left="720" w:firstLine="0"/>
      <w:contextualSpacing/>
      <w:jc w:val="left"/>
    </w:pPr>
    <w:rPr>
      <w:rFonts w:asciiTheme="minorHAnsi" w:eastAsiaTheme="minorHAnsi" w:hAnsiTheme="minorHAnsi" w:cstheme="minorBidi"/>
      <w:color w:val="auto"/>
      <w:sz w:val="22"/>
      <w:szCs w:val="22"/>
      <w:lang w:eastAsia="en-US"/>
    </w:rPr>
  </w:style>
  <w:style w:type="paragraph" w:styleId="NormalnyWeb">
    <w:name w:val="Normal (Web)"/>
    <w:basedOn w:val="Normalny"/>
    <w:uiPriority w:val="99"/>
    <w:semiHidden/>
    <w:unhideWhenUsed/>
    <w:rsid w:val="00AF0BB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20099">
      <w:bodyDiv w:val="1"/>
      <w:marLeft w:val="0"/>
      <w:marRight w:val="0"/>
      <w:marTop w:val="0"/>
      <w:marBottom w:val="0"/>
      <w:divBdr>
        <w:top w:val="none" w:sz="0" w:space="0" w:color="auto"/>
        <w:left w:val="none" w:sz="0" w:space="0" w:color="auto"/>
        <w:bottom w:val="none" w:sz="0" w:space="0" w:color="auto"/>
        <w:right w:val="none" w:sz="0" w:space="0" w:color="auto"/>
      </w:divBdr>
    </w:div>
    <w:div w:id="548340294">
      <w:bodyDiv w:val="1"/>
      <w:marLeft w:val="0"/>
      <w:marRight w:val="0"/>
      <w:marTop w:val="0"/>
      <w:marBottom w:val="0"/>
      <w:divBdr>
        <w:top w:val="none" w:sz="0" w:space="0" w:color="auto"/>
        <w:left w:val="none" w:sz="0" w:space="0" w:color="auto"/>
        <w:bottom w:val="none" w:sz="0" w:space="0" w:color="auto"/>
        <w:right w:val="none" w:sz="0" w:space="0" w:color="auto"/>
      </w:divBdr>
    </w:div>
    <w:div w:id="658003272">
      <w:bodyDiv w:val="1"/>
      <w:marLeft w:val="0"/>
      <w:marRight w:val="0"/>
      <w:marTop w:val="0"/>
      <w:marBottom w:val="0"/>
      <w:divBdr>
        <w:top w:val="none" w:sz="0" w:space="0" w:color="auto"/>
        <w:left w:val="none" w:sz="0" w:space="0" w:color="auto"/>
        <w:bottom w:val="none" w:sz="0" w:space="0" w:color="auto"/>
        <w:right w:val="none" w:sz="0" w:space="0" w:color="auto"/>
      </w:divBdr>
    </w:div>
    <w:div w:id="668750084">
      <w:bodyDiv w:val="1"/>
      <w:marLeft w:val="0"/>
      <w:marRight w:val="0"/>
      <w:marTop w:val="0"/>
      <w:marBottom w:val="0"/>
      <w:divBdr>
        <w:top w:val="none" w:sz="0" w:space="0" w:color="auto"/>
        <w:left w:val="none" w:sz="0" w:space="0" w:color="auto"/>
        <w:bottom w:val="none" w:sz="0" w:space="0" w:color="auto"/>
        <w:right w:val="none" w:sz="0" w:space="0" w:color="auto"/>
      </w:divBdr>
    </w:div>
    <w:div w:id="823621802">
      <w:bodyDiv w:val="1"/>
      <w:marLeft w:val="0"/>
      <w:marRight w:val="0"/>
      <w:marTop w:val="0"/>
      <w:marBottom w:val="0"/>
      <w:divBdr>
        <w:top w:val="none" w:sz="0" w:space="0" w:color="auto"/>
        <w:left w:val="none" w:sz="0" w:space="0" w:color="auto"/>
        <w:bottom w:val="none" w:sz="0" w:space="0" w:color="auto"/>
        <w:right w:val="none" w:sz="0" w:space="0" w:color="auto"/>
      </w:divBdr>
    </w:div>
    <w:div w:id="893540008">
      <w:bodyDiv w:val="1"/>
      <w:marLeft w:val="0"/>
      <w:marRight w:val="0"/>
      <w:marTop w:val="0"/>
      <w:marBottom w:val="0"/>
      <w:divBdr>
        <w:top w:val="none" w:sz="0" w:space="0" w:color="auto"/>
        <w:left w:val="none" w:sz="0" w:space="0" w:color="auto"/>
        <w:bottom w:val="none" w:sz="0" w:space="0" w:color="auto"/>
        <w:right w:val="none" w:sz="0" w:space="0" w:color="auto"/>
      </w:divBdr>
    </w:div>
    <w:div w:id="906307277">
      <w:bodyDiv w:val="1"/>
      <w:marLeft w:val="0"/>
      <w:marRight w:val="0"/>
      <w:marTop w:val="0"/>
      <w:marBottom w:val="0"/>
      <w:divBdr>
        <w:top w:val="none" w:sz="0" w:space="0" w:color="auto"/>
        <w:left w:val="none" w:sz="0" w:space="0" w:color="auto"/>
        <w:bottom w:val="none" w:sz="0" w:space="0" w:color="auto"/>
        <w:right w:val="none" w:sz="0" w:space="0" w:color="auto"/>
      </w:divBdr>
      <w:divsChild>
        <w:div w:id="407075733">
          <w:marLeft w:val="-108"/>
          <w:marRight w:val="0"/>
          <w:marTop w:val="0"/>
          <w:marBottom w:val="0"/>
          <w:divBdr>
            <w:top w:val="none" w:sz="0" w:space="0" w:color="auto"/>
            <w:left w:val="none" w:sz="0" w:space="0" w:color="auto"/>
            <w:bottom w:val="none" w:sz="0" w:space="0" w:color="auto"/>
            <w:right w:val="none" w:sz="0" w:space="0" w:color="auto"/>
          </w:divBdr>
          <w:divsChild>
            <w:div w:id="930046244">
              <w:marLeft w:val="720"/>
              <w:marRight w:val="0"/>
              <w:marTop w:val="0"/>
              <w:marBottom w:val="0"/>
              <w:divBdr>
                <w:top w:val="none" w:sz="0" w:space="0" w:color="auto"/>
                <w:left w:val="none" w:sz="0" w:space="0" w:color="auto"/>
                <w:bottom w:val="none" w:sz="0" w:space="0" w:color="auto"/>
                <w:right w:val="none" w:sz="0" w:space="0" w:color="auto"/>
              </w:divBdr>
            </w:div>
            <w:div w:id="1435982571">
              <w:marLeft w:val="720"/>
              <w:marRight w:val="0"/>
              <w:marTop w:val="0"/>
              <w:marBottom w:val="0"/>
              <w:divBdr>
                <w:top w:val="none" w:sz="0" w:space="0" w:color="auto"/>
                <w:left w:val="none" w:sz="0" w:space="0" w:color="auto"/>
                <w:bottom w:val="none" w:sz="0" w:space="0" w:color="auto"/>
                <w:right w:val="none" w:sz="0" w:space="0" w:color="auto"/>
              </w:divBdr>
            </w:div>
            <w:div w:id="1445878241">
              <w:marLeft w:val="-108"/>
              <w:marRight w:val="0"/>
              <w:marTop w:val="0"/>
              <w:marBottom w:val="0"/>
              <w:divBdr>
                <w:top w:val="none" w:sz="0" w:space="0" w:color="auto"/>
                <w:left w:val="none" w:sz="0" w:space="0" w:color="auto"/>
                <w:bottom w:val="none" w:sz="0" w:space="0" w:color="auto"/>
                <w:right w:val="none" w:sz="0" w:space="0" w:color="auto"/>
              </w:divBdr>
            </w:div>
          </w:divsChild>
        </w:div>
      </w:divsChild>
    </w:div>
    <w:div w:id="1889414220">
      <w:bodyDiv w:val="1"/>
      <w:marLeft w:val="0"/>
      <w:marRight w:val="0"/>
      <w:marTop w:val="0"/>
      <w:marBottom w:val="0"/>
      <w:divBdr>
        <w:top w:val="none" w:sz="0" w:space="0" w:color="auto"/>
        <w:left w:val="none" w:sz="0" w:space="0" w:color="auto"/>
        <w:bottom w:val="none" w:sz="0" w:space="0" w:color="auto"/>
        <w:right w:val="none" w:sz="0" w:space="0" w:color="auto"/>
      </w:divBdr>
    </w:div>
    <w:div w:id="195593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EF43C-70DE-4AF7-A6A9-BA6D9113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3872</Words>
  <Characters>23235</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AGlowacz</dc:creator>
  <cp:lastModifiedBy>AGlowinska</cp:lastModifiedBy>
  <cp:revision>7</cp:revision>
  <cp:lastPrinted>2017-10-13T12:28:00Z</cp:lastPrinted>
  <dcterms:created xsi:type="dcterms:W3CDTF">2017-10-24T07:16:00Z</dcterms:created>
  <dcterms:modified xsi:type="dcterms:W3CDTF">2017-10-31T14:17:00Z</dcterms:modified>
</cp:coreProperties>
</file>